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hanging="0" w:left="10"/>
        <w:jc w:val="left"/>
        <w:rPr>
          <w:rFonts w:ascii="Arial" w:hAnsi="Arial" w:cs="Arial"/>
          <w:sz w:val="22"/>
        </w:rPr>
      </w:pPr>
      <w:r>
        <w:rPr>
          <w:rFonts w:cs="Arial" w:ascii="Arial" w:hAnsi="Arial"/>
          <w:b/>
          <w:sz w:val="22"/>
          <w:u w:val="single" w:color="000000"/>
        </w:rPr>
        <w:t xml:space="preserve">Oznaczenie </w:t>
      </w:r>
      <w:r>
        <w:rPr>
          <w:rFonts w:cs="Arial" w:ascii="Arial" w:hAnsi="Arial"/>
          <w:b/>
          <w:color w:val="auto"/>
          <w:sz w:val="22"/>
          <w:u w:val="single" w:color="000000"/>
        </w:rPr>
        <w:t xml:space="preserve">sprawy: </w:t>
      </w:r>
      <w:bookmarkStart w:id="0" w:name="_Hlk110242291"/>
      <w:r>
        <w:rPr>
          <w:rFonts w:cs="Arial" w:ascii="Arial" w:hAnsi="Arial"/>
          <w:b/>
          <w:color w:val="auto"/>
          <w:sz w:val="22"/>
          <w:u w:val="single" w:color="000000"/>
        </w:rPr>
        <w:t>ZP/5/PN/202</w:t>
      </w:r>
      <w:bookmarkEnd w:id="0"/>
      <w:r>
        <w:rPr>
          <w:rFonts w:cs="Arial" w:ascii="Arial" w:hAnsi="Arial"/>
          <w:b/>
          <w:color w:val="auto"/>
          <w:sz w:val="22"/>
          <w:u w:val="single" w:color="000000"/>
        </w:rPr>
        <w:t>4</w:t>
      </w:r>
    </w:p>
    <w:p>
      <w:pPr>
        <w:pStyle w:val="Normal"/>
        <w:spacing w:lineRule="auto" w:line="240" w:before="0" w:after="0"/>
        <w:ind w:hanging="0" w:left="10"/>
        <w:jc w:val="left"/>
        <w:rPr>
          <w:rFonts w:ascii="Arial" w:hAnsi="Arial" w:cs="Arial"/>
          <w:sz w:val="22"/>
        </w:rPr>
      </w:pPr>
      <w:r>
        <w:rPr>
          <w:rFonts w:cs="Arial" w:ascii="Arial" w:hAnsi="Arial"/>
          <w:sz w:val="22"/>
        </w:rPr>
      </w:r>
    </w:p>
    <w:p>
      <w:pPr>
        <w:pStyle w:val="Normal"/>
        <w:spacing w:lineRule="auto" w:line="240" w:before="0" w:after="0"/>
        <w:ind w:hanging="0" w:left="10"/>
        <w:jc w:val="left"/>
        <w:rPr>
          <w:rFonts w:ascii="Arial" w:hAnsi="Arial" w:cs="Arial"/>
          <w:sz w:val="22"/>
        </w:rPr>
      </w:pPr>
      <w:r>
        <w:rPr>
          <w:rFonts w:cs="Arial" w:ascii="Arial" w:hAnsi="Arial"/>
          <w:sz w:val="22"/>
        </w:rPr>
      </w:r>
    </w:p>
    <w:p>
      <w:pPr>
        <w:pStyle w:val="Normal"/>
        <w:spacing w:lineRule="auto" w:line="240" w:before="0" w:after="0"/>
        <w:ind w:hanging="0" w:left="10"/>
        <w:jc w:val="left"/>
        <w:rPr>
          <w:rFonts w:ascii="Arial" w:hAnsi="Arial" w:cs="Arial"/>
          <w:sz w:val="22"/>
        </w:rPr>
      </w:pPr>
      <w:r>
        <w:rPr>
          <w:rFonts w:cs="Arial" w:ascii="Arial" w:hAnsi="Arial"/>
          <w:sz w:val="22"/>
        </w:rPr>
      </w:r>
    </w:p>
    <w:p>
      <w:pPr>
        <w:pStyle w:val="Normal"/>
        <w:spacing w:lineRule="auto" w:line="240" w:before="0" w:after="0"/>
        <w:ind w:hanging="0" w:left="10"/>
        <w:jc w:val="left"/>
        <w:rPr>
          <w:rFonts w:ascii="Arial" w:hAnsi="Arial" w:cs="Arial"/>
          <w:sz w:val="22"/>
        </w:rPr>
      </w:pPr>
      <w:r>
        <w:rPr>
          <w:rFonts w:cs="Arial" w:ascii="Arial" w:hAnsi="Arial"/>
          <w:sz w:val="22"/>
        </w:rPr>
      </w:r>
    </w:p>
    <w:p>
      <w:pPr>
        <w:pStyle w:val="Normal"/>
        <w:spacing w:lineRule="auto" w:line="240" w:before="0" w:after="0"/>
        <w:ind w:hanging="0" w:left="10"/>
        <w:jc w:val="left"/>
        <w:rPr>
          <w:rFonts w:ascii="Arial" w:hAnsi="Arial" w:cs="Arial"/>
          <w:sz w:val="22"/>
        </w:rPr>
      </w:pPr>
      <w:r>
        <w:rPr>
          <w:rFonts w:cs="Arial" w:ascii="Arial" w:hAnsi="Arial"/>
          <w:sz w:val="22"/>
        </w:rPr>
      </w:r>
    </w:p>
    <w:p>
      <w:pPr>
        <w:pStyle w:val="Heading1"/>
        <w:spacing w:lineRule="auto" w:line="240"/>
        <w:rPr>
          <w:rFonts w:ascii="Arial" w:hAnsi="Arial" w:cs="Arial"/>
          <w:sz w:val="22"/>
        </w:rPr>
      </w:pPr>
      <w:r>
        <w:rPr>
          <w:rFonts w:cs="Arial" w:ascii="Arial" w:hAnsi="Arial"/>
          <w:sz w:val="22"/>
        </w:rPr>
        <w:t>SPECYFIKACJA WARUNKÓW ZAMÓWIENIA</w:t>
      </w:r>
    </w:p>
    <w:p>
      <w:pPr>
        <w:pStyle w:val="Normal"/>
        <w:spacing w:lineRule="auto" w:line="240" w:before="0" w:after="0"/>
        <w:rPr>
          <w:rFonts w:ascii="Arial" w:hAnsi="Arial" w:cs="Arial"/>
          <w:sz w:val="22"/>
        </w:rPr>
      </w:pPr>
      <w:r>
        <w:rPr>
          <w:rFonts w:cs="Arial" w:ascii="Arial" w:hAnsi="Arial"/>
          <w:sz w:val="22"/>
        </w:rPr>
      </w:r>
    </w:p>
    <w:p>
      <w:pPr>
        <w:pStyle w:val="Normal"/>
        <w:spacing w:lineRule="auto" w:line="240" w:before="0" w:after="0"/>
        <w:rPr>
          <w:rFonts w:ascii="Arial" w:hAnsi="Arial" w:cs="Arial"/>
          <w:sz w:val="22"/>
        </w:rPr>
      </w:pPr>
      <w:r>
        <w:rPr>
          <w:rFonts w:cs="Arial" w:ascii="Arial" w:hAnsi="Arial"/>
          <w:sz w:val="22"/>
        </w:rPr>
      </w:r>
    </w:p>
    <w:p>
      <w:pPr>
        <w:pStyle w:val="Normal"/>
        <w:spacing w:lineRule="auto" w:line="240" w:before="0" w:after="0"/>
        <w:ind w:hanging="10" w:left="0" w:right="71"/>
        <w:jc w:val="center"/>
        <w:rPr>
          <w:rFonts w:ascii="Arial" w:hAnsi="Arial" w:cs="Arial"/>
          <w:sz w:val="22"/>
        </w:rPr>
      </w:pPr>
      <w:r>
        <w:rPr>
          <w:rFonts w:cs="Arial" w:ascii="Arial" w:hAnsi="Arial"/>
          <w:b/>
          <w:sz w:val="22"/>
        </w:rPr>
        <w:t>w postępowaniu o udzielenie zamówienia publicznego prowadzonego na podstawie przepisów ustawy z dnia 11 września 2019 r. Prawo zamówień publicznych (t. jedn.: Dz.U. 2024 poz. 1320), zwanej dalej „ustawą Pzp” na:</w:t>
      </w:r>
    </w:p>
    <w:p>
      <w:pPr>
        <w:pStyle w:val="Normal"/>
        <w:spacing w:lineRule="auto" w:line="240" w:before="0" w:after="0"/>
        <w:ind w:hanging="0" w:left="10"/>
        <w:jc w:val="left"/>
        <w:rPr>
          <w:rFonts w:ascii="Arial" w:hAnsi="Arial" w:cs="Arial"/>
          <w:sz w:val="22"/>
        </w:rPr>
      </w:pPr>
      <w:r>
        <w:rPr>
          <w:rFonts w:cs="Arial" w:ascii="Arial" w:hAnsi="Arial"/>
          <w:sz w:val="22"/>
        </w:rPr>
      </w:r>
    </w:p>
    <w:p>
      <w:pPr>
        <w:pStyle w:val="Normal"/>
        <w:suppressAutoHyphens w:val="false"/>
        <w:spacing w:lineRule="auto" w:line="240" w:before="0" w:after="0"/>
        <w:ind w:hanging="0" w:left="0"/>
        <w:jc w:val="center"/>
        <w:rPr>
          <w:rFonts w:ascii="Arial" w:hAnsi="Arial" w:cs="Arial"/>
          <w:sz w:val="22"/>
        </w:rPr>
      </w:pPr>
      <w:r>
        <w:rPr>
          <w:rFonts w:cs="Arial" w:ascii="Arial" w:hAnsi="Arial"/>
          <w:b/>
          <w:i/>
          <w:sz w:val="22"/>
        </w:rPr>
        <w:t>„</w:t>
      </w:r>
      <w:bookmarkStart w:id="1" w:name="_Hlk148531458"/>
      <w:r>
        <w:rPr>
          <w:b/>
          <w:bCs/>
        </w:rPr>
        <w:t>BUDOWA BUDYNKU MIESZKALNEGO WIELORODZINNEGO ZLOKALIZOWANEGO W SZCZEKOCINACHPRZY UL. POLNEJ</w:t>
      </w:r>
      <w:bookmarkEnd w:id="1"/>
      <w:r>
        <w:rPr>
          <w:b/>
          <w:bCs/>
        </w:rPr>
        <w:t xml:space="preserve"> </w:t>
      </w:r>
      <w:r>
        <w:rPr>
          <w:rFonts w:eastAsia="" w:cs="Calibri-Bold" w:ascii="Calibri-Bold" w:hAnsi="Calibri-Bold" w:eastAsiaTheme="minorEastAsia"/>
          <w:b/>
          <w:bCs/>
          <w:sz w:val="22"/>
        </w:rPr>
        <w:t xml:space="preserve">– </w:t>
      </w:r>
      <w:r>
        <w:rPr>
          <w:rFonts w:eastAsia="" w:cs="Calibri" w:cstheme="minorHAnsi" w:eastAsiaTheme="minorEastAsia"/>
          <w:bCs/>
          <w:szCs w:val="20"/>
        </w:rPr>
        <w:t>powtórzone postępowanie nr 2</w:t>
      </w:r>
      <w:r>
        <w:rPr>
          <w:rFonts w:cs="Arial" w:ascii="Arial" w:hAnsi="Arial"/>
          <w:b/>
          <w:i/>
          <w:sz w:val="22"/>
        </w:rPr>
        <w:t>”</w:t>
      </w:r>
    </w:p>
    <w:p>
      <w:pPr>
        <w:pStyle w:val="Normal"/>
        <w:spacing w:lineRule="auto" w:line="240" w:before="0" w:after="0"/>
        <w:ind w:hanging="0" w:left="16"/>
        <w:rPr>
          <w:rFonts w:ascii="Arial" w:hAnsi="Arial" w:cs="Arial"/>
          <w:sz w:val="22"/>
        </w:rPr>
      </w:pPr>
      <w:r>
        <w:rPr>
          <w:rFonts w:cs="Arial" w:ascii="Arial" w:hAnsi="Arial"/>
          <w:sz w:val="22"/>
        </w:rPr>
      </w:r>
    </w:p>
    <w:p>
      <w:pPr>
        <w:pStyle w:val="Normal"/>
        <w:spacing w:lineRule="auto" w:line="240" w:before="0" w:after="0"/>
        <w:ind w:hanging="0" w:left="16"/>
        <w:rPr>
          <w:rFonts w:ascii="Arial" w:hAnsi="Arial" w:cs="Arial"/>
          <w:sz w:val="22"/>
        </w:rPr>
      </w:pPr>
      <w:r>
        <w:rPr>
          <w:rFonts w:cs="Arial" w:ascii="Arial" w:hAnsi="Arial"/>
          <w:sz w:val="22"/>
        </w:rPr>
      </w:r>
    </w:p>
    <w:p>
      <w:pPr>
        <w:pStyle w:val="Normal"/>
        <w:spacing w:lineRule="auto" w:line="240" w:before="0" w:after="0"/>
        <w:ind w:hanging="0" w:left="16"/>
        <w:rPr>
          <w:rFonts w:ascii="Arial" w:hAnsi="Arial" w:cs="Arial"/>
          <w:sz w:val="22"/>
        </w:rPr>
      </w:pPr>
      <w:r>
        <w:rPr>
          <w:rFonts w:cs="Arial" w:ascii="Arial" w:hAnsi="Arial"/>
          <w:sz w:val="22"/>
        </w:rPr>
      </w:r>
    </w:p>
    <w:p>
      <w:pPr>
        <w:pStyle w:val="Normal"/>
        <w:spacing w:lineRule="auto" w:line="240" w:before="0" w:after="0"/>
        <w:ind w:hanging="0" w:left="16"/>
        <w:rPr>
          <w:rFonts w:ascii="Arial" w:hAnsi="Arial" w:cs="Arial"/>
          <w:sz w:val="22"/>
        </w:rPr>
      </w:pPr>
      <w:r>
        <w:rPr>
          <w:rFonts w:cs="Arial" w:ascii="Arial" w:hAnsi="Arial"/>
          <w:sz w:val="22"/>
        </w:rPr>
      </w:r>
    </w:p>
    <w:p>
      <w:pPr>
        <w:pStyle w:val="Normal"/>
        <w:spacing w:lineRule="auto" w:line="240" w:before="0" w:after="0"/>
        <w:ind w:hanging="0" w:left="16"/>
        <w:rPr>
          <w:rFonts w:ascii="Arial" w:hAnsi="Arial" w:cs="Arial"/>
          <w:sz w:val="22"/>
        </w:rPr>
      </w:pPr>
      <w:r>
        <w:rPr>
          <w:rFonts w:cs="Arial" w:ascii="Arial" w:hAnsi="Arial"/>
          <w:sz w:val="22"/>
        </w:rPr>
      </w:r>
    </w:p>
    <w:p>
      <w:pPr>
        <w:pStyle w:val="Normal"/>
        <w:tabs>
          <w:tab w:val="clear" w:pos="708"/>
          <w:tab w:val="center" w:pos="6394" w:leader="none"/>
        </w:tabs>
        <w:spacing w:lineRule="auto" w:line="240" w:before="0" w:after="0"/>
        <w:ind w:hanging="0" w:left="-5"/>
        <w:jc w:val="left"/>
        <w:rPr>
          <w:rFonts w:ascii="Arial" w:hAnsi="Arial" w:cs="Arial"/>
          <w:sz w:val="22"/>
        </w:rPr>
      </w:pPr>
      <w:r>
        <w:rPr>
          <w:rFonts w:cs="Arial" w:ascii="Arial" w:hAnsi="Arial"/>
          <w:sz w:val="22"/>
        </w:rPr>
      </w:r>
    </w:p>
    <w:tbl>
      <w:tblPr>
        <w:tblStyle w:val="TableGrid"/>
        <w:tblW w:w="9130" w:type="dxa"/>
        <w:jc w:val="left"/>
        <w:tblInd w:w="10" w:type="dxa"/>
        <w:tblLayout w:type="fixed"/>
        <w:tblCellMar>
          <w:top w:w="0" w:type="dxa"/>
          <w:left w:w="0" w:type="dxa"/>
          <w:bottom w:w="0" w:type="dxa"/>
          <w:right w:w="0" w:type="dxa"/>
        </w:tblCellMar>
        <w:tblLook w:firstRow="1" w:noVBand="1" w:lastRow="0" w:firstColumn="1" w:lastColumn="0" w:noHBand="0" w:val="04a0"/>
      </w:tblPr>
      <w:tblGrid>
        <w:gridCol w:w="3148"/>
        <w:gridCol w:w="5981"/>
      </w:tblGrid>
      <w:tr>
        <w:trPr>
          <w:trHeight w:val="550" w:hRule="atLeast"/>
        </w:trPr>
        <w:tc>
          <w:tcPr>
            <w:tcW w:w="3148" w:type="dxa"/>
            <w:tcBorders/>
          </w:tcPr>
          <w:p>
            <w:pPr>
              <w:pStyle w:val="Normal"/>
              <w:widowControl w:val="false"/>
              <w:suppressAutoHyphens w:val="true"/>
              <w:spacing w:lineRule="auto" w:line="240" w:before="0" w:after="0"/>
              <w:ind w:hanging="0" w:left="0"/>
              <w:jc w:val="left"/>
              <w:rPr>
                <w:rFonts w:ascii="Arial" w:hAnsi="Arial" w:cs="Arial"/>
                <w:sz w:val="22"/>
              </w:rPr>
            </w:pPr>
            <w:r>
              <w:rPr>
                <w:rFonts w:cs="Arial" w:ascii="Arial" w:hAnsi="Arial"/>
                <w:b/>
                <w:kern w:val="0"/>
                <w:sz w:val="22"/>
                <w:szCs w:val="22"/>
                <w:u w:val="single" w:color="000000"/>
                <w:lang w:val="pl-PL" w:eastAsia="pl-PL" w:bidi="ar-SA"/>
              </w:rPr>
              <w:t>Zamawiający:</w:t>
            </w:r>
          </w:p>
        </w:tc>
        <w:tc>
          <w:tcPr>
            <w:tcW w:w="5981" w:type="dxa"/>
            <w:tcBorders/>
          </w:tcPr>
          <w:p>
            <w:pPr>
              <w:pStyle w:val="Normal"/>
              <w:widowControl w:val="false"/>
              <w:suppressAutoHyphens w:val="true"/>
              <w:spacing w:lineRule="auto" w:line="240" w:before="0" w:after="0"/>
              <w:ind w:hanging="0" w:left="1070" w:right="53"/>
              <w:jc w:val="left"/>
              <w:rPr>
                <w:rFonts w:ascii="Arial" w:hAnsi="Arial" w:cs="Arial"/>
                <w:b/>
                <w:sz w:val="22"/>
              </w:rPr>
            </w:pPr>
            <w:r>
              <w:rPr>
                <w:rFonts w:cs="Arial" w:ascii="Arial" w:hAnsi="Arial"/>
                <w:b/>
                <w:kern w:val="0"/>
                <w:sz w:val="22"/>
                <w:szCs w:val="22"/>
                <w:lang w:val="pl-PL" w:eastAsia="pl-PL" w:bidi="ar-SA"/>
              </w:rPr>
              <w:t>SIM Zagłębie</w:t>
            </w:r>
          </w:p>
          <w:p>
            <w:pPr>
              <w:pStyle w:val="Normal"/>
              <w:widowControl w:val="false"/>
              <w:suppressAutoHyphens w:val="true"/>
              <w:spacing w:lineRule="auto" w:line="240" w:before="0" w:after="0"/>
              <w:ind w:hanging="0" w:left="1070" w:right="53"/>
              <w:jc w:val="left"/>
              <w:rPr>
                <w:rFonts w:ascii="Arial" w:hAnsi="Arial" w:cs="Arial"/>
                <w:b/>
                <w:sz w:val="22"/>
              </w:rPr>
            </w:pPr>
            <w:r>
              <w:rPr>
                <w:rFonts w:cs="Arial" w:ascii="Arial" w:hAnsi="Arial"/>
                <w:b/>
                <w:kern w:val="0"/>
                <w:sz w:val="22"/>
                <w:szCs w:val="22"/>
                <w:lang w:val="pl-PL" w:eastAsia="pl-PL" w:bidi="ar-SA"/>
              </w:rPr>
              <w:t>Spółka z ograniczoną odpowiedzialnością</w:t>
            </w:r>
          </w:p>
          <w:p>
            <w:pPr>
              <w:pStyle w:val="Normal"/>
              <w:widowControl w:val="false"/>
              <w:suppressAutoHyphens w:val="true"/>
              <w:spacing w:lineRule="auto" w:line="240" w:before="0" w:after="0"/>
              <w:ind w:hanging="0" w:left="1070" w:right="53"/>
              <w:jc w:val="left"/>
              <w:rPr>
                <w:rFonts w:ascii="Arial" w:hAnsi="Arial" w:cs="Arial"/>
                <w:b/>
                <w:sz w:val="22"/>
              </w:rPr>
            </w:pPr>
            <w:r>
              <w:rPr>
                <w:rFonts w:cs="Arial" w:ascii="Arial" w:hAnsi="Arial"/>
                <w:b/>
                <w:kern w:val="0"/>
                <w:sz w:val="22"/>
                <w:szCs w:val="22"/>
                <w:lang w:val="pl-PL" w:eastAsia="pl-PL" w:bidi="ar-SA"/>
              </w:rPr>
              <w:t>z siedzibą w Sosnowcu,</w:t>
            </w:r>
          </w:p>
          <w:p>
            <w:pPr>
              <w:pStyle w:val="Normal"/>
              <w:widowControl w:val="false"/>
              <w:suppressAutoHyphens w:val="true"/>
              <w:spacing w:lineRule="auto" w:line="240" w:before="0" w:after="0"/>
              <w:ind w:hanging="0" w:left="1070" w:right="53"/>
              <w:jc w:val="left"/>
              <w:rPr>
                <w:rFonts w:ascii="Arial" w:hAnsi="Arial" w:eastAsia="Arial" w:cs="Arial"/>
                <w:b/>
                <w:sz w:val="22"/>
              </w:rPr>
            </w:pPr>
            <w:r>
              <w:rPr>
                <w:rFonts w:cs="Arial" w:ascii="Arial" w:hAnsi="Arial"/>
                <w:b/>
                <w:kern w:val="0"/>
                <w:sz w:val="22"/>
                <w:szCs w:val="22"/>
                <w:lang w:val="pl-PL" w:eastAsia="pl-PL" w:bidi="ar-SA"/>
              </w:rPr>
              <w:t xml:space="preserve">ul. </w:t>
            </w:r>
            <w:r>
              <w:rPr>
                <w:rFonts w:eastAsia="Arial" w:cs="Arial" w:ascii="Arial" w:hAnsi="Arial"/>
                <w:b/>
                <w:kern w:val="0"/>
                <w:sz w:val="22"/>
                <w:szCs w:val="22"/>
                <w:lang w:val="pl-PL" w:eastAsia="pl-PL" w:bidi="ar-SA"/>
              </w:rPr>
              <w:t>Wojska Polskiego 8/3.07,</w:t>
            </w:r>
          </w:p>
          <w:p>
            <w:pPr>
              <w:pStyle w:val="Normal"/>
              <w:widowControl w:val="false"/>
              <w:suppressAutoHyphens w:val="true"/>
              <w:spacing w:lineRule="auto" w:line="240" w:before="0" w:after="0"/>
              <w:ind w:hanging="0" w:left="1070"/>
              <w:jc w:val="left"/>
              <w:rPr>
                <w:rFonts w:ascii="Arial" w:hAnsi="Arial" w:cs="Arial"/>
                <w:b/>
                <w:sz w:val="22"/>
              </w:rPr>
            </w:pPr>
            <w:r>
              <w:rPr>
                <w:rFonts w:eastAsia="Arial" w:cs="Arial" w:ascii="Arial" w:hAnsi="Arial"/>
                <w:b/>
                <w:kern w:val="0"/>
                <w:sz w:val="22"/>
                <w:szCs w:val="22"/>
                <w:lang w:val="pl-PL" w:eastAsia="pl-PL" w:bidi="ar-SA"/>
              </w:rPr>
              <w:t>41-208 Sosnowiec</w:t>
            </w:r>
          </w:p>
        </w:tc>
      </w:tr>
      <w:tr>
        <w:trPr>
          <w:trHeight w:val="550" w:hRule="atLeast"/>
        </w:trPr>
        <w:tc>
          <w:tcPr>
            <w:tcW w:w="3148" w:type="dxa"/>
            <w:tcBorders/>
          </w:tcPr>
          <w:p>
            <w:pPr>
              <w:pStyle w:val="Normal"/>
              <w:widowControl w:val="false"/>
              <w:suppressAutoHyphens w:val="true"/>
              <w:spacing w:lineRule="auto" w:line="240" w:before="0" w:after="0"/>
              <w:ind w:hanging="0" w:left="0"/>
              <w:jc w:val="left"/>
              <w:rPr>
                <w:rFonts w:ascii="Arial" w:hAnsi="Arial" w:cs="Arial"/>
                <w:b/>
                <w:sz w:val="22"/>
                <w:u w:val="single" w:color="000000"/>
              </w:rPr>
            </w:pPr>
            <w:r>
              <w:rPr>
                <w:rFonts w:cs="Arial" w:ascii="Arial" w:hAnsi="Arial"/>
                <w:b/>
                <w:kern w:val="0"/>
                <w:sz w:val="22"/>
                <w:szCs w:val="22"/>
                <w:u w:val="single" w:color="000000"/>
                <w:lang w:val="pl-PL" w:eastAsia="pl-PL" w:bidi="ar-SA"/>
              </w:rPr>
            </w:r>
          </w:p>
        </w:tc>
        <w:tc>
          <w:tcPr>
            <w:tcW w:w="5981" w:type="dxa"/>
            <w:tcBorders/>
          </w:tcPr>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i/>
                <w:i/>
                <w:sz w:val="22"/>
              </w:rPr>
            </w:pPr>
            <w:r>
              <w:rPr>
                <w:rFonts w:cs="Arial" w:ascii="Arial" w:hAnsi="Arial"/>
                <w:i/>
                <w:kern w:val="0"/>
                <w:sz w:val="22"/>
                <w:szCs w:val="22"/>
                <w:lang w:val="pl-PL" w:eastAsia="pl-PL" w:bidi="ar-SA"/>
              </w:rPr>
            </w:r>
          </w:p>
          <w:p>
            <w:pPr>
              <w:pStyle w:val="Normal"/>
              <w:widowControl w:val="false"/>
              <w:suppressAutoHyphens w:val="true"/>
              <w:spacing w:lineRule="auto" w:line="240" w:before="0" w:after="0"/>
              <w:ind w:hanging="0" w:left="0" w:right="168"/>
              <w:jc w:val="center"/>
              <w:rPr>
                <w:rFonts w:ascii="Arial" w:hAnsi="Arial" w:cs="Arial"/>
                <w:sz w:val="22"/>
              </w:rPr>
            </w:pPr>
            <w:r>
              <w:rPr>
                <w:rFonts w:cs="Arial" w:ascii="Arial" w:hAnsi="Arial"/>
                <w:i/>
                <w:kern w:val="0"/>
                <w:sz w:val="22"/>
                <w:szCs w:val="22"/>
                <w:lang w:val="pl-PL" w:eastAsia="pl-PL" w:bidi="ar-SA"/>
              </w:rPr>
              <w:t>Zatwierdził:</w:t>
            </w:r>
          </w:p>
          <w:p>
            <w:pPr>
              <w:pStyle w:val="Normal"/>
              <w:widowControl w:val="false"/>
              <w:suppressAutoHyphens w:val="true"/>
              <w:spacing w:lineRule="auto" w:line="240" w:before="0" w:after="0"/>
              <w:ind w:hanging="0" w:left="0" w:right="118"/>
              <w:jc w:val="center"/>
              <w:rPr>
                <w:rFonts w:ascii="Arial" w:hAnsi="Arial" w:cs="Arial"/>
                <w:sz w:val="22"/>
              </w:rPr>
            </w:pPr>
            <w:r>
              <w:rPr>
                <w:rFonts w:cs="Arial" w:ascii="Arial" w:hAnsi="Arial"/>
                <w:kern w:val="0"/>
                <w:sz w:val="22"/>
                <w:szCs w:val="22"/>
                <w:lang w:val="pl-PL" w:eastAsia="pl-PL" w:bidi="ar-SA"/>
              </w:rPr>
            </w:r>
          </w:p>
          <w:p>
            <w:pPr>
              <w:pStyle w:val="Normal"/>
              <w:widowControl w:val="false"/>
              <w:suppressAutoHyphens w:val="true"/>
              <w:spacing w:lineRule="auto" w:line="240" w:before="0" w:after="0"/>
              <w:ind w:hanging="0" w:left="0" w:right="118"/>
              <w:jc w:val="center"/>
              <w:rPr>
                <w:rFonts w:ascii="Arial" w:hAnsi="Arial" w:cs="Arial"/>
                <w:sz w:val="22"/>
              </w:rPr>
            </w:pPr>
            <w:r>
              <w:rPr>
                <w:rFonts w:cs="Arial" w:ascii="Arial" w:hAnsi="Arial"/>
                <w:kern w:val="0"/>
                <w:sz w:val="22"/>
                <w:szCs w:val="22"/>
                <w:lang w:val="pl-PL" w:eastAsia="pl-PL" w:bidi="ar-SA"/>
              </w:rPr>
            </w:r>
          </w:p>
          <w:p>
            <w:pPr>
              <w:pStyle w:val="Normal"/>
              <w:widowControl w:val="false"/>
              <w:suppressAutoHyphens w:val="true"/>
              <w:spacing w:lineRule="auto" w:line="240" w:before="0" w:after="0"/>
              <w:ind w:hanging="0" w:left="0" w:right="118"/>
              <w:jc w:val="center"/>
              <w:rPr>
                <w:rFonts w:ascii="Arial" w:hAnsi="Arial" w:cs="Arial"/>
                <w:sz w:val="22"/>
              </w:rPr>
            </w:pPr>
            <w:r>
              <w:rPr>
                <w:rFonts w:cs="Arial" w:ascii="Arial" w:hAnsi="Arial"/>
                <w:kern w:val="0"/>
                <w:sz w:val="22"/>
                <w:szCs w:val="22"/>
                <w:lang w:val="pl-PL" w:eastAsia="pl-PL" w:bidi="ar-SA"/>
              </w:rPr>
            </w:r>
          </w:p>
          <w:p>
            <w:pPr>
              <w:pStyle w:val="Normal"/>
              <w:widowControl w:val="false"/>
              <w:suppressAutoHyphens w:val="true"/>
              <w:spacing w:lineRule="auto" w:line="240" w:before="0" w:after="0"/>
              <w:jc w:val="center"/>
              <w:rPr>
                <w:rFonts w:ascii="Arial" w:hAnsi="Arial" w:cs="Arial"/>
                <w:sz w:val="22"/>
              </w:rPr>
            </w:pPr>
            <w:r>
              <w:rPr>
                <w:rFonts w:cs="Arial" w:ascii="Arial" w:hAnsi="Arial"/>
                <w:b/>
                <w:i/>
                <w:kern w:val="0"/>
                <w:sz w:val="22"/>
                <w:szCs w:val="22"/>
                <w:lang w:val="pl-PL" w:eastAsia="pl-PL" w:bidi="ar-SA"/>
              </w:rPr>
              <w:t>………………………………</w:t>
            </w:r>
            <w:r>
              <w:rPr>
                <w:rFonts w:cs="Arial" w:ascii="Arial" w:hAnsi="Arial"/>
                <w:b/>
                <w:i/>
                <w:kern w:val="0"/>
                <w:sz w:val="22"/>
                <w:szCs w:val="22"/>
                <w:lang w:val="pl-PL" w:eastAsia="pl-PL" w:bidi="ar-SA"/>
              </w:rPr>
              <w:t>..</w:t>
            </w:r>
          </w:p>
        </w:tc>
      </w:tr>
    </w:tbl>
    <w:p>
      <w:pPr>
        <w:pStyle w:val="Normal"/>
        <w:spacing w:lineRule="auto" w:line="240" w:before="0" w:after="0"/>
        <w:ind w:hanging="0" w:left="16"/>
        <w:jc w:val="center"/>
        <w:rPr>
          <w:rFonts w:ascii="Arial" w:hAnsi="Arial" w:cs="Arial"/>
          <w:sz w:val="22"/>
        </w:rPr>
      </w:pPr>
      <w:r>
        <w:rPr>
          <w:rFonts w:cs="Arial" w:ascii="Arial" w:hAnsi="Arial"/>
          <w:sz w:val="22"/>
        </w:rPr>
      </w:r>
    </w:p>
    <w:p>
      <w:pPr>
        <w:pStyle w:val="Normal"/>
        <w:spacing w:lineRule="auto" w:line="240" w:before="0" w:after="0"/>
        <w:ind w:hanging="0" w:left="16"/>
        <w:jc w:val="center"/>
        <w:rPr>
          <w:rFonts w:ascii="Arial" w:hAnsi="Arial" w:cs="Arial"/>
          <w:sz w:val="22"/>
        </w:rPr>
      </w:pPr>
      <w:r>
        <w:rPr>
          <w:rFonts w:cs="Arial" w:ascii="Arial" w:hAnsi="Arial"/>
          <w:sz w:val="22"/>
        </w:rPr>
      </w:r>
    </w:p>
    <w:p>
      <w:pPr>
        <w:pStyle w:val="Normal"/>
        <w:spacing w:lineRule="auto" w:line="240" w:before="0" w:after="0"/>
        <w:ind w:hanging="0" w:left="16"/>
        <w:jc w:val="center"/>
        <w:rPr>
          <w:rFonts w:ascii="Arial" w:hAnsi="Arial" w:cs="Arial"/>
          <w:sz w:val="22"/>
        </w:rPr>
      </w:pPr>
      <w:r>
        <w:rPr>
          <w:rFonts w:cs="Arial" w:ascii="Arial" w:hAnsi="Arial"/>
          <w:sz w:val="22"/>
        </w:rPr>
      </w:r>
    </w:p>
    <w:p>
      <w:pPr>
        <w:pStyle w:val="Normal"/>
        <w:spacing w:lineRule="auto" w:line="240" w:before="0" w:after="0"/>
        <w:ind w:hanging="0" w:left="16"/>
        <w:jc w:val="center"/>
        <w:rPr>
          <w:rFonts w:ascii="Arial" w:hAnsi="Arial" w:cs="Arial"/>
          <w:sz w:val="22"/>
        </w:rPr>
      </w:pPr>
      <w:r>
        <w:rPr>
          <w:rFonts w:cs="Arial" w:ascii="Arial" w:hAnsi="Arial"/>
          <w:sz w:val="22"/>
        </w:rPr>
      </w:r>
    </w:p>
    <w:p>
      <w:pPr>
        <w:pStyle w:val="Normal"/>
        <w:spacing w:lineRule="auto" w:line="240" w:before="0" w:after="0"/>
        <w:ind w:hanging="0" w:left="16"/>
        <w:jc w:val="center"/>
        <w:rPr>
          <w:rFonts w:ascii="Arial" w:hAnsi="Arial" w:cs="Arial"/>
          <w:sz w:val="22"/>
        </w:rPr>
      </w:pPr>
      <w:r>
        <w:rPr>
          <w:rFonts w:cs="Arial" w:ascii="Arial" w:hAnsi="Arial"/>
          <w:sz w:val="22"/>
        </w:rPr>
      </w:r>
    </w:p>
    <w:p>
      <w:pPr>
        <w:pStyle w:val="Normal"/>
        <w:spacing w:lineRule="auto" w:line="240" w:before="0" w:after="0"/>
        <w:ind w:hanging="10" w:left="1717" w:right="1742"/>
        <w:jc w:val="center"/>
        <w:rPr>
          <w:rFonts w:ascii="Arial" w:hAnsi="Arial" w:cs="Arial"/>
          <w:b/>
          <w:color w:val="auto"/>
          <w:sz w:val="22"/>
        </w:rPr>
      </w:pPr>
      <w:r>
        <w:rPr>
          <w:rFonts w:cs="Arial" w:ascii="Arial" w:hAnsi="Arial"/>
          <w:b/>
          <w:color w:val="auto"/>
          <w:sz w:val="22"/>
        </w:rPr>
        <w:t>Sosnowiec, dnia 11.10.2024r.</w:t>
      </w:r>
    </w:p>
    <w:p>
      <w:pPr>
        <w:pStyle w:val="Normal"/>
        <w:spacing w:lineRule="auto" w:line="240" w:before="0" w:after="0"/>
        <w:ind w:hanging="10" w:left="1717" w:right="1742"/>
        <w:jc w:val="center"/>
        <w:rPr>
          <w:rFonts w:ascii="Arial" w:hAnsi="Arial" w:cs="Arial"/>
          <w:b/>
          <w:sz w:val="22"/>
        </w:rPr>
      </w:pPr>
      <w:r>
        <w:rPr>
          <w:rFonts w:cs="Arial" w:ascii="Arial" w:hAnsi="Arial"/>
          <w:b/>
          <w:sz w:val="22"/>
        </w:rPr>
      </w:r>
    </w:p>
    <w:p>
      <w:pPr>
        <w:pStyle w:val="Normal"/>
        <w:spacing w:lineRule="auto" w:line="240" w:before="0" w:after="0"/>
        <w:ind w:hanging="10" w:left="1717" w:right="1742"/>
        <w:jc w:val="center"/>
        <w:rPr>
          <w:rFonts w:ascii="Arial" w:hAnsi="Arial" w:cs="Arial"/>
          <w:b/>
          <w:sz w:val="22"/>
        </w:rPr>
      </w:pPr>
      <w:r>
        <w:rPr>
          <w:rFonts w:cs="Arial" w:ascii="Arial" w:hAnsi="Arial"/>
          <w:b/>
          <w:sz w:val="22"/>
        </w:rPr>
      </w:r>
    </w:p>
    <w:p>
      <w:pPr>
        <w:pStyle w:val="Normal"/>
        <w:spacing w:lineRule="auto" w:line="240" w:before="0" w:after="0"/>
        <w:ind w:hanging="10" w:left="1717" w:right="1742"/>
        <w:jc w:val="center"/>
        <w:rPr>
          <w:rFonts w:ascii="Arial" w:hAnsi="Arial" w:cs="Arial"/>
          <w:b/>
          <w:sz w:val="22"/>
        </w:rPr>
      </w:pPr>
      <w:r>
        <w:rPr>
          <w:rFonts w:cs="Arial" w:ascii="Arial" w:hAnsi="Arial"/>
          <w:b/>
          <w:sz w:val="22"/>
        </w:rPr>
      </w:r>
    </w:p>
    <w:p>
      <w:pPr>
        <w:pStyle w:val="Normal"/>
        <w:spacing w:lineRule="auto" w:line="240" w:before="0" w:after="0"/>
        <w:ind w:hanging="0" w:left="0"/>
        <w:jc w:val="left"/>
        <w:rPr>
          <w:rFonts w:ascii="Arial" w:hAnsi="Arial" w:cs="Arial"/>
          <w:b/>
          <w:sz w:val="22"/>
        </w:rPr>
      </w:pPr>
      <w:r>
        <w:rPr>
          <w:rFonts w:cs="Arial" w:ascii="Arial" w:hAnsi="Arial"/>
          <w:b/>
          <w:sz w:val="22"/>
        </w:rPr>
      </w:r>
      <w:r>
        <w:br w:type="page"/>
      </w:r>
    </w:p>
    <w:p>
      <w:pPr>
        <w:pStyle w:val="ListParagraph"/>
        <w:numPr>
          <w:ilvl w:val="0"/>
          <w:numId w:val="4"/>
        </w:numPr>
        <w:tabs>
          <w:tab w:val="clear" w:pos="708"/>
          <w:tab w:val="left" w:pos="426" w:leader="none"/>
        </w:tabs>
        <w:spacing w:lineRule="auto" w:line="240" w:before="0" w:after="0"/>
        <w:ind w:hanging="432" w:left="426"/>
        <w:contextualSpacing/>
        <w:rPr>
          <w:rFonts w:ascii="Arial" w:hAnsi="Arial" w:cs="Arial"/>
          <w:b/>
          <w:sz w:val="22"/>
          <w:u w:val="single"/>
        </w:rPr>
      </w:pPr>
      <w:r>
        <w:rPr>
          <w:rFonts w:cs="Arial" w:ascii="Arial" w:hAnsi="Arial"/>
          <w:b/>
          <w:sz w:val="22"/>
          <w:u w:val="single"/>
        </w:rPr>
        <w:t>Nazwa oraz adres zamawiającego, numer telefonu, adres poczty elektronicznej oraz strony internetowej prowadzonego postępowania:</w:t>
      </w:r>
    </w:p>
    <w:p>
      <w:pPr>
        <w:pStyle w:val="Normal"/>
        <w:spacing w:lineRule="auto" w:line="240" w:before="0" w:after="0"/>
        <w:ind w:hanging="0" w:left="426" w:right="71"/>
        <w:rPr>
          <w:rFonts w:ascii="Arial" w:hAnsi="Arial" w:cs="Arial"/>
          <w:sz w:val="22"/>
        </w:rPr>
      </w:pPr>
      <w:r>
        <w:rPr>
          <w:rFonts w:cs="Arial" w:ascii="Arial" w:hAnsi="Arial"/>
          <w:sz w:val="22"/>
        </w:rPr>
        <w:t>SIM Zagłębie Spółka z ograniczoną odpowiedzialnością z siedzibą w Sosnowcu,</w:t>
      </w:r>
    </w:p>
    <w:p>
      <w:pPr>
        <w:pStyle w:val="Normal"/>
        <w:spacing w:lineRule="auto" w:line="240" w:before="0" w:after="0"/>
        <w:ind w:hanging="0" w:left="426" w:right="71"/>
        <w:rPr>
          <w:rFonts w:ascii="Arial" w:hAnsi="Arial" w:eastAsia="Arial" w:cs="Arial"/>
          <w:sz w:val="22"/>
        </w:rPr>
      </w:pPr>
      <w:r>
        <w:rPr>
          <w:rFonts w:cs="Arial" w:ascii="Arial" w:hAnsi="Arial"/>
          <w:sz w:val="22"/>
        </w:rPr>
        <w:t xml:space="preserve">ul. </w:t>
      </w:r>
      <w:r>
        <w:rPr>
          <w:rFonts w:eastAsia="Arial" w:cs="Arial" w:ascii="Arial" w:hAnsi="Arial"/>
          <w:sz w:val="22"/>
        </w:rPr>
        <w:t>Wojska Polskiego 8/3.07,</w:t>
      </w:r>
    </w:p>
    <w:p>
      <w:pPr>
        <w:pStyle w:val="Normal"/>
        <w:spacing w:lineRule="auto" w:line="240" w:before="0" w:after="0"/>
        <w:ind w:hanging="0" w:left="426" w:right="71"/>
        <w:rPr>
          <w:rFonts w:ascii="Arial" w:hAnsi="Arial" w:cs="Arial"/>
          <w:sz w:val="22"/>
        </w:rPr>
      </w:pPr>
      <w:r>
        <w:rPr>
          <w:rFonts w:eastAsia="Arial" w:cs="Arial" w:ascii="Arial" w:hAnsi="Arial"/>
          <w:sz w:val="22"/>
        </w:rPr>
        <w:t>41-208 Sosnowiec</w:t>
      </w:r>
      <w:r>
        <w:rPr>
          <w:rFonts w:cs="Arial" w:ascii="Arial" w:hAnsi="Arial"/>
          <w:sz w:val="22"/>
        </w:rPr>
        <w:t>,</w:t>
      </w:r>
    </w:p>
    <w:p>
      <w:pPr>
        <w:pStyle w:val="Normal"/>
        <w:spacing w:lineRule="auto" w:line="240" w:before="0" w:after="0"/>
        <w:ind w:hanging="0" w:left="426" w:right="71"/>
        <w:rPr>
          <w:rFonts w:ascii="Arial" w:hAnsi="Arial" w:cs="Arial"/>
          <w:sz w:val="22"/>
        </w:rPr>
      </w:pPr>
      <w:r>
        <w:rPr>
          <w:rFonts w:cs="Arial" w:ascii="Arial" w:hAnsi="Arial"/>
          <w:sz w:val="22"/>
        </w:rPr>
        <w:t>tel.: +48 500 408 604,</w:t>
      </w:r>
    </w:p>
    <w:p>
      <w:pPr>
        <w:pStyle w:val="Normal"/>
        <w:spacing w:lineRule="auto" w:line="240" w:before="0" w:after="0"/>
        <w:ind w:hanging="10" w:left="426" w:right="33"/>
        <w:rPr>
          <w:rFonts w:ascii="Arial" w:hAnsi="Arial" w:cs="Arial"/>
          <w:bCs/>
          <w:color w:val="auto"/>
          <w:sz w:val="22"/>
        </w:rPr>
      </w:pPr>
      <w:r>
        <w:rPr>
          <w:rFonts w:cs="Arial" w:ascii="Arial" w:hAnsi="Arial"/>
          <w:sz w:val="22"/>
        </w:rPr>
        <w:t xml:space="preserve">ogólny adres poczty elektronicznej: </w:t>
      </w:r>
      <w:hyperlink r:id="rId2">
        <w:r>
          <w:rPr>
            <w:rStyle w:val="Hyperlink"/>
            <w:rFonts w:cs="Arial" w:ascii="Arial" w:hAnsi="Arial"/>
            <w:bCs/>
            <w:sz w:val="22"/>
          </w:rPr>
          <w:t>zamowienia@simzaglebie.pl</w:t>
        </w:r>
      </w:hyperlink>
      <w:r>
        <w:rPr>
          <w:rFonts w:cs="Arial" w:ascii="Arial" w:hAnsi="Arial"/>
          <w:bCs/>
          <w:color w:val="auto"/>
          <w:sz w:val="22"/>
          <w:u w:val="single" w:color="0000FF"/>
        </w:rPr>
        <w:t>,</w:t>
      </w:r>
    </w:p>
    <w:p>
      <w:pPr>
        <w:pStyle w:val="Normal"/>
        <w:spacing w:lineRule="auto" w:line="240" w:before="0" w:after="0"/>
        <w:ind w:hanging="10" w:left="426"/>
        <w:rPr>
          <w:rFonts w:ascii="Arial" w:hAnsi="Arial" w:cs="Arial"/>
          <w:sz w:val="22"/>
        </w:rPr>
      </w:pPr>
      <w:r>
        <w:rPr>
          <w:rFonts w:cs="Arial" w:ascii="Arial" w:hAnsi="Arial"/>
          <w:sz w:val="22"/>
        </w:rPr>
        <w:t xml:space="preserve">adres ogólny internetowy: </w:t>
      </w:r>
      <w:r>
        <w:rPr>
          <w:rFonts w:cs="Arial" w:ascii="Arial" w:hAnsi="Arial"/>
          <w:color w:val="0000FF"/>
          <w:sz w:val="22"/>
          <w:u w:val="single" w:color="0000FF"/>
        </w:rPr>
        <w:t>https://simzaglebie.pl</w:t>
      </w:r>
      <w:r>
        <w:rPr>
          <w:rFonts w:cs="Arial" w:ascii="Arial" w:hAnsi="Arial"/>
          <w:sz w:val="22"/>
        </w:rPr>
        <w:t>,</w:t>
      </w:r>
    </w:p>
    <w:p>
      <w:pPr>
        <w:pStyle w:val="Normal"/>
        <w:spacing w:lineRule="auto" w:line="240" w:before="0" w:after="0"/>
        <w:ind w:hanging="10" w:left="426" w:right="33"/>
        <w:rPr>
          <w:rFonts w:ascii="Arial" w:hAnsi="Arial" w:cs="Arial"/>
          <w:sz w:val="22"/>
        </w:rPr>
      </w:pPr>
      <w:r>
        <w:rPr>
          <w:rFonts w:cs="Arial" w:ascii="Arial" w:hAnsi="Arial"/>
          <w:sz w:val="22"/>
        </w:rPr>
        <w:t>postępowanie prowadzone przy pomocy Platformy Zakupowej:</w:t>
      </w:r>
    </w:p>
    <w:p>
      <w:pPr>
        <w:pStyle w:val="Normal"/>
        <w:spacing w:lineRule="auto" w:line="240" w:before="0" w:after="0"/>
        <w:ind w:hanging="10" w:left="426" w:right="33"/>
        <w:rPr>
          <w:rStyle w:val="Hyperlink"/>
          <w:rFonts w:ascii="Arial" w:hAnsi="Arial" w:cs="Arial"/>
          <w:bCs/>
          <w:sz w:val="22"/>
          <w:u w:val="none"/>
        </w:rPr>
      </w:pPr>
      <w:r>
        <w:rPr>
          <w:rFonts w:cs="Arial" w:ascii="Arial" w:hAnsi="Arial"/>
          <w:sz w:val="22"/>
        </w:rPr>
        <w:t xml:space="preserve">- adres strony internetowej, na której udostępniane będą zmiany i wyjaśnienia treści SWZ oraz inne dokumenty zamówienia bezpośrednio związane z postępowaniem o udzielenie zamówienia: </w:t>
      </w:r>
      <w:hyperlink r:id="rId3">
        <w:r>
          <w:rPr>
            <w:rStyle w:val="Hyperlink"/>
            <w:rFonts w:cs="Arial" w:ascii="Arial" w:hAnsi="Arial"/>
            <w:bCs/>
            <w:sz w:val="22"/>
          </w:rPr>
          <w:t>https://platformazakupowa.pl/pn/sim_zaglebie</w:t>
        </w:r>
      </w:hyperlink>
      <w:r>
        <w:rPr>
          <w:rStyle w:val="Hyperlink"/>
          <w:rFonts w:cs="Arial" w:ascii="Arial" w:hAnsi="Arial"/>
          <w:bCs/>
          <w:color w:val="auto"/>
          <w:sz w:val="22"/>
          <w:u w:val="none"/>
        </w:rPr>
        <w:t>,</w:t>
      </w:r>
    </w:p>
    <w:p>
      <w:pPr>
        <w:pStyle w:val="Normal"/>
        <w:spacing w:lineRule="auto" w:line="240" w:before="0" w:after="0"/>
        <w:ind w:hanging="10" w:left="426" w:right="33"/>
        <w:rPr>
          <w:rFonts w:ascii="Arial" w:hAnsi="Arial" w:cs="Arial"/>
          <w:sz w:val="22"/>
        </w:rPr>
      </w:pPr>
      <w:r>
        <w:rPr>
          <w:rFonts w:cs="Arial" w:ascii="Arial" w:hAnsi="Arial"/>
          <w:sz w:val="22"/>
        </w:rPr>
        <w:t>- adres strony internetowej prowadzonego postępowania:</w:t>
      </w:r>
    </w:p>
    <w:p>
      <w:pPr>
        <w:pStyle w:val="Normal"/>
        <w:spacing w:lineRule="auto" w:line="240" w:before="0" w:after="0"/>
        <w:ind w:hanging="10" w:left="426" w:right="33"/>
        <w:rPr>
          <w:rFonts w:ascii="Arial" w:hAnsi="Arial" w:cs="Arial"/>
          <w:sz w:val="22"/>
        </w:rPr>
      </w:pPr>
      <w:hyperlink r:id="rId4">
        <w:r>
          <w:rPr>
            <w:rStyle w:val="Hyperlink"/>
            <w:rFonts w:cs="Arial" w:ascii="Arial" w:hAnsi="Arial"/>
            <w:sz w:val="22"/>
          </w:rPr>
          <w:t>https://platformazakupowa.pl/transakcja/985140</w:t>
        </w:r>
      </w:hyperlink>
    </w:p>
    <w:p>
      <w:pPr>
        <w:pStyle w:val="Normal"/>
        <w:spacing w:lineRule="auto" w:line="240" w:before="0" w:after="0"/>
        <w:ind w:hanging="10" w:left="426" w:right="33"/>
        <w:rPr>
          <w:rFonts w:ascii="Arial" w:hAnsi="Arial" w:cs="Arial"/>
          <w:sz w:val="22"/>
        </w:rPr>
      </w:pPr>
      <w:r>
        <w:rPr>
          <w:rFonts w:cs="Arial" w:ascii="Arial" w:hAnsi="Arial"/>
          <w:sz w:val="22"/>
        </w:rPr>
      </w:r>
    </w:p>
    <w:p>
      <w:pPr>
        <w:pStyle w:val="Normal"/>
        <w:spacing w:lineRule="auto" w:line="240" w:before="0" w:after="0"/>
        <w:ind w:hanging="10" w:left="425"/>
        <w:rPr>
          <w:rFonts w:ascii="Arial" w:hAnsi="Arial" w:cs="Arial"/>
          <w:b/>
          <w:sz w:val="22"/>
        </w:rPr>
      </w:pPr>
      <w:r>
        <w:rPr>
          <w:rFonts w:cs="Arial" w:ascii="Arial" w:hAnsi="Arial"/>
          <w:b/>
          <w:sz w:val="22"/>
        </w:rPr>
        <w:t>Informacja dotycząca przetwarzania danych osobowych:</w:t>
      </w:r>
    </w:p>
    <w:p>
      <w:pPr>
        <w:pStyle w:val="Normal"/>
        <w:spacing w:lineRule="auto" w:line="240" w:before="0" w:after="0"/>
        <w:ind w:hanging="0" w:left="425" w:right="33"/>
        <w:rPr>
          <w:rFonts w:ascii="Arial" w:hAnsi="Arial" w:cs="Arial"/>
          <w:sz w:val="22"/>
        </w:rPr>
      </w:pPr>
      <w:r>
        <w:rPr>
          <w:rFonts w:cs="Arial" w:ascii="Arial" w:hAnsi="Arial"/>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pPr>
        <w:pStyle w:val="Normal"/>
        <w:numPr>
          <w:ilvl w:val="0"/>
          <w:numId w:val="2"/>
        </w:numPr>
        <w:spacing w:lineRule="auto" w:line="240" w:before="0" w:after="0"/>
        <w:ind w:hanging="425" w:left="851" w:right="10"/>
        <w:rPr>
          <w:rFonts w:ascii="Arial" w:hAnsi="Arial" w:cs="Arial"/>
          <w:sz w:val="22"/>
        </w:rPr>
      </w:pPr>
      <w:r>
        <w:rPr>
          <w:rFonts w:cs="Arial" w:ascii="Arial" w:hAnsi="Arial"/>
          <w:sz w:val="22"/>
        </w:rPr>
        <w:t xml:space="preserve">administratorem Pani/Pana danych osobowych jest </w:t>
      </w:r>
      <w:r>
        <w:rPr>
          <w:rFonts w:eastAsia="Arial" w:cs="Arial" w:ascii="Arial" w:hAnsi="Arial"/>
          <w:sz w:val="22"/>
        </w:rPr>
        <w:t>SIM Zagłębie Sp. z o.o. z siedzibą w Sosnowcu przy ul. Wojska Polskiego 8/3.07,41-208 Sosnowiec, REGON: 52070357800000, NIP: 644-356-42-71,</w:t>
      </w:r>
    </w:p>
    <w:p>
      <w:pPr>
        <w:pStyle w:val="ListParagraph"/>
        <w:numPr>
          <w:ilvl w:val="0"/>
          <w:numId w:val="2"/>
        </w:numPr>
        <w:tabs>
          <w:tab w:val="clear" w:pos="708"/>
          <w:tab w:val="left" w:pos="851" w:leader="none"/>
        </w:tabs>
        <w:spacing w:lineRule="auto" w:line="240" w:before="0" w:after="0"/>
        <w:ind w:hanging="425" w:left="851" w:right="10"/>
        <w:contextualSpacing/>
        <w:rPr>
          <w:rFonts w:ascii="Arial" w:hAnsi="Arial" w:cs="Arial"/>
          <w:sz w:val="22"/>
        </w:rPr>
      </w:pPr>
      <w:r>
        <w:rPr>
          <w:rFonts w:cs="Arial" w:ascii="Arial" w:hAnsi="Arial"/>
          <w:sz w:val="22"/>
        </w:rPr>
        <w:t>administrator wyznaczył Inspektora Ochrony Danych, z którym może się Pani/Pan skontaktować w sprawach związanych z ochroną danych osobowych pod adresem e- mail:</w:t>
      </w:r>
      <w:r>
        <w:rPr>
          <w:rStyle w:val="Hyperlink"/>
          <w:rFonts w:cs="Arial" w:ascii="Arial" w:hAnsi="Arial"/>
          <w:b/>
          <w:bCs/>
          <w:sz w:val="22"/>
        </w:rPr>
        <w:t xml:space="preserve"> </w:t>
      </w:r>
      <w:hyperlink r:id="rId5">
        <w:r>
          <w:rPr>
            <w:rStyle w:val="Hyperlink"/>
            <w:rFonts w:cs="Arial" w:ascii="Arial" w:hAnsi="Arial"/>
            <w:b/>
            <w:bCs/>
            <w:sz w:val="22"/>
          </w:rPr>
          <w:t>iod@simzaglebie.pl</w:t>
        </w:r>
      </w:hyperlink>
      <w:r>
        <w:rPr>
          <w:rStyle w:val="Hyperlink"/>
          <w:rFonts w:cs="Arial" w:ascii="Arial" w:hAnsi="Arial"/>
          <w:b/>
          <w:bCs/>
          <w:sz w:val="22"/>
        </w:rPr>
        <w:t xml:space="preserve"> </w:t>
      </w:r>
      <w:r>
        <w:rPr>
          <w:rStyle w:val="Hyperlink"/>
          <w:rFonts w:cs="Arial" w:ascii="Arial" w:hAnsi="Arial"/>
          <w:bCs/>
          <w:color w:val="auto"/>
          <w:sz w:val="22"/>
          <w:u w:val="none"/>
        </w:rPr>
        <w:t xml:space="preserve">lub </w:t>
      </w:r>
      <w:r>
        <w:rPr>
          <w:rFonts w:cs="Arial" w:ascii="Arial" w:hAnsi="Arial"/>
          <w:sz w:val="22"/>
        </w:rPr>
        <w:t>w postaci papierowej na adres siedziby administratora,</w:t>
      </w:r>
    </w:p>
    <w:p>
      <w:pPr>
        <w:pStyle w:val="Normal"/>
        <w:numPr>
          <w:ilvl w:val="0"/>
          <w:numId w:val="2"/>
        </w:numPr>
        <w:spacing w:lineRule="auto" w:line="240" w:before="0" w:after="0"/>
        <w:ind w:hanging="425" w:left="851" w:right="10"/>
        <w:rPr>
          <w:rFonts w:ascii="Arial" w:hAnsi="Arial" w:cs="Arial"/>
          <w:sz w:val="22"/>
        </w:rPr>
      </w:pPr>
      <w:r>
        <w:rPr>
          <w:rFonts w:cs="Arial" w:ascii="Arial" w:hAnsi="Arial"/>
          <w:sz w:val="22"/>
        </w:rPr>
        <w:t>Pani/Pana dane osobowe przetwarzane będą na podstawie art. 6 ust. 1 lit. c RODO w związku z przepisami ustawy Pzp celu związanym z przeprowadzeniem przedmiotowego postępowania o udzielenie zamówienia publicznego oraz jego rozstrzygnięcia, jak również zawarcia umowy oraz archiwizacji,</w:t>
      </w:r>
    </w:p>
    <w:p>
      <w:pPr>
        <w:pStyle w:val="Normal"/>
        <w:numPr>
          <w:ilvl w:val="0"/>
          <w:numId w:val="2"/>
        </w:numPr>
        <w:spacing w:lineRule="auto" w:line="240" w:before="0" w:after="0"/>
        <w:ind w:hanging="425" w:left="851" w:right="10"/>
        <w:rPr>
          <w:rFonts w:ascii="Arial" w:hAnsi="Arial" w:cs="Arial"/>
          <w:sz w:val="22"/>
        </w:rPr>
      </w:pPr>
      <w:r>
        <w:rPr>
          <w:rFonts w:cs="Arial" w:ascii="Arial" w:hAnsi="Arial"/>
          <w:sz w:val="22"/>
        </w:rPr>
        <w:t>odbiorcami Pani/Pana danych osobowych będą osoby lub podmioty, którym udostępniona zostanie dokumentacja postępowania w oparciu o art. 18 oraz art. 74 ustawy Pzp, firma Open Nexus Sp. z o.o. Bolesława Krzywoustego 3, 61-144 Poznań z która administrator zawarł umowę na obsługę platformy zakupowej, na której prowadzone są postępowania o udzielenie zamówienia publicznego, podmiot uprawniony do obsługi doręczeń (poczta Polska S.A.) oraz podmioty wspierające administratora w wypełnianiu uprawnień i obowiązków oraz świadczeniu usług, w tym zapewniających asystę i wsparcie techniczne dla użytkowanych systemów informatycznych,</w:t>
      </w:r>
    </w:p>
    <w:p>
      <w:pPr>
        <w:pStyle w:val="Normal"/>
        <w:numPr>
          <w:ilvl w:val="0"/>
          <w:numId w:val="2"/>
        </w:numPr>
        <w:spacing w:lineRule="auto" w:line="240" w:before="0" w:after="0"/>
        <w:ind w:hanging="425" w:left="851" w:right="10"/>
        <w:rPr>
          <w:rFonts w:ascii="Arial" w:hAnsi="Arial" w:cs="Arial"/>
          <w:sz w:val="22"/>
        </w:rPr>
      </w:pPr>
      <w:r>
        <w:rPr>
          <w:rFonts w:cs="Arial" w:ascii="Arial" w:hAnsi="Arial"/>
          <w:sz w:val="22"/>
        </w:rPr>
        <w:t>Pani/Pana dane osobowe będą przechowywane, zgodnie z art. 78 ust. 1 ustawy Pzp,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pPr>
        <w:pStyle w:val="Normal"/>
        <w:numPr>
          <w:ilvl w:val="0"/>
          <w:numId w:val="2"/>
        </w:numPr>
        <w:spacing w:lineRule="auto" w:line="240" w:before="0" w:after="0"/>
        <w:ind w:hanging="425" w:left="851" w:right="10"/>
        <w:rPr>
          <w:rFonts w:ascii="Arial" w:hAnsi="Arial" w:cs="Arial"/>
          <w:sz w:val="22"/>
        </w:rPr>
      </w:pPr>
      <w:r>
        <w:rPr>
          <w:rFonts w:cs="Arial" w:ascii="Arial" w:hAnsi="Arial"/>
          <w:sz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numPr>
          <w:ilvl w:val="0"/>
          <w:numId w:val="2"/>
        </w:numPr>
        <w:spacing w:lineRule="auto" w:line="240" w:before="0" w:after="0"/>
        <w:ind w:hanging="425" w:left="851" w:right="33"/>
        <w:rPr>
          <w:rFonts w:ascii="Arial" w:hAnsi="Arial" w:cs="Arial"/>
          <w:sz w:val="22"/>
        </w:rPr>
      </w:pPr>
      <w:r>
        <w:rPr>
          <w:rFonts w:cs="Arial" w:ascii="Arial" w:hAnsi="Arial"/>
          <w:sz w:val="22"/>
        </w:rPr>
        <w:t>w odniesieniu do Pani/Pana danych osobowych decyzje nie będą podejmowane w sposób zautomatyzowany, stosowanie do art. 22 RODO,</w:t>
      </w:r>
    </w:p>
    <w:p>
      <w:pPr>
        <w:pStyle w:val="Normal"/>
        <w:numPr>
          <w:ilvl w:val="0"/>
          <w:numId w:val="2"/>
        </w:numPr>
        <w:spacing w:lineRule="auto" w:line="240" w:before="0" w:after="0"/>
        <w:ind w:hanging="425" w:left="851" w:right="33"/>
        <w:rPr>
          <w:rFonts w:ascii="Arial" w:hAnsi="Arial" w:cs="Arial"/>
          <w:sz w:val="22"/>
        </w:rPr>
      </w:pPr>
      <w:r>
        <w:rPr>
          <w:rFonts w:cs="Arial" w:ascii="Arial" w:hAnsi="Arial"/>
          <w:sz w:val="22"/>
        </w:rPr>
        <w:t>posiada Pani/Pan:</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na podstawie art. 15 RODO prawo dostępu do danych osobowych Pani/Pana dotyczących;</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na podstawie art. 16 RODO prawo do sprostowania lub uzupełnienia Pani/Pana danych osobowych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w:t>
      </w:r>
      <w:r>
        <w:rPr>
          <w:rFonts w:cs="Arial" w:ascii="Arial" w:hAnsi="Arial"/>
          <w:sz w:val="22"/>
          <w:shd w:fill="FFFFFF" w:val="clear"/>
        </w:rPr>
        <w:t>ochrony praw innej osoby fizycznej lub prawnej, lub z uwagi na ważne względy interesu publicznego Unii lub państwa członkowskiego</w:t>
      </w:r>
      <w:r>
        <w:rPr>
          <w:rFonts w:cs="Arial" w:ascii="Arial" w:hAnsi="Arial"/>
          <w:sz w:val="22"/>
        </w:rPr>
        <w:t>);</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prawo do wniesienia skargi do Prezesa Urzędu Ochrony Danych Osobowych, gdy uzna Pani/Pan, że przetwarzanie danych osobowych Pani/Pana dotyczących narusza przepisy RODO,</w:t>
      </w:r>
    </w:p>
    <w:p>
      <w:pPr>
        <w:pStyle w:val="Normal"/>
        <w:numPr>
          <w:ilvl w:val="0"/>
          <w:numId w:val="2"/>
        </w:numPr>
        <w:spacing w:lineRule="auto" w:line="240" w:before="0" w:after="0"/>
        <w:ind w:hanging="425" w:left="851" w:right="33"/>
        <w:rPr>
          <w:rFonts w:ascii="Arial" w:hAnsi="Arial"/>
          <w:sz w:val="22"/>
        </w:rPr>
      </w:pPr>
      <w:r>
        <w:rPr>
          <w:rFonts w:cs="Arial" w:ascii="Arial" w:hAnsi="Arial"/>
          <w:sz w:val="22"/>
        </w:rPr>
        <w:t>nie przysługuje Pani/Panu:</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w związku z art. 17 ust. 3 lit. b, d lub e RODO prawo do usunięcia danych osobowych;</w:t>
      </w:r>
    </w:p>
    <w:p>
      <w:pPr>
        <w:pStyle w:val="Normal"/>
        <w:numPr>
          <w:ilvl w:val="3"/>
          <w:numId w:val="1"/>
        </w:numPr>
        <w:spacing w:lineRule="auto" w:line="240" w:before="0" w:after="0"/>
        <w:ind w:hanging="425" w:left="851" w:right="33"/>
        <w:rPr>
          <w:rFonts w:ascii="Arial" w:hAnsi="Arial" w:cs="Arial"/>
          <w:sz w:val="22"/>
        </w:rPr>
      </w:pPr>
      <w:r>
        <w:rPr>
          <w:rFonts w:cs="Arial" w:ascii="Arial" w:hAnsi="Arial"/>
          <w:sz w:val="22"/>
        </w:rPr>
        <w:t>prawo do przenoszenia danych osobowych, o którym mowa w art. 20 RODO;</w:t>
      </w:r>
    </w:p>
    <w:p>
      <w:pPr>
        <w:pStyle w:val="Normal"/>
        <w:spacing w:lineRule="auto" w:line="240" w:before="0" w:after="0"/>
        <w:ind w:hanging="10" w:left="426" w:right="33"/>
        <w:rPr>
          <w:rFonts w:ascii="Arial" w:hAnsi="Arial" w:cs="Arial"/>
          <w:sz w:val="22"/>
        </w:rPr>
      </w:pPr>
      <w:r>
        <w:rPr>
          <w:rFonts w:cs="Arial" w:ascii="Arial" w:hAnsi="Arial"/>
          <w:sz w:val="22"/>
        </w:rPr>
        <w:t>na podstawie art. 21 RODO prawo sprzeciwu, wobec przetwarzania danych osobowych, gdyż podstawą prawną przetwarzania Państwa danych osobowych jest art. 6 ust. 1 lit. c RODO.</w:t>
      </w:r>
    </w:p>
    <w:p>
      <w:pPr>
        <w:pStyle w:val="Normal"/>
        <w:spacing w:lineRule="auto" w:line="240" w:before="0" w:after="0"/>
        <w:ind w:hanging="10" w:left="426" w:right="33"/>
        <w:rPr>
          <w:rFonts w:ascii="Arial" w:hAnsi="Arial" w:cs="Arial"/>
          <w:sz w:val="22"/>
        </w:rPr>
      </w:pPr>
      <w:r>
        <w:rPr>
          <w:rFonts w:cs="Arial" w:ascii="Arial" w:hAnsi="Arial"/>
          <w:sz w:val="22"/>
        </w:rPr>
      </w:r>
    </w:p>
    <w:p>
      <w:pPr>
        <w:pStyle w:val="Normal"/>
        <w:spacing w:lineRule="auto" w:line="240" w:before="0" w:after="0"/>
        <w:ind w:hanging="0" w:left="426" w:right="33"/>
        <w:rPr>
          <w:rFonts w:ascii="Arial" w:hAnsi="Arial" w:cs="Arial"/>
          <w:b/>
          <w:sz w:val="22"/>
        </w:rPr>
      </w:pPr>
      <w:r>
        <w:rPr>
          <w:rFonts w:cs="Arial" w:ascii="Arial" w:hAnsi="Arial"/>
          <w:sz w:val="22"/>
        </w:rPr>
        <w:t>Wykonawca zobowiązuje się poinformować w imieniu Zamawiającego wszystkie osoby fizyczne w szczególności: skierowane do realizacji zamówienia, podwykonawców/podmioty udostępniające zasoby będące osobami fizycznymi, pełnomocników podwykonawcy/podmiotu udostępniającego zasoby będących osobą fizyczną, członków organu zarządzającego podwykonawcy/podmiotu udostępniającego zasoby będącego osobą fizyczną, osoby, których dane służą wykazaniu spełnienia warunków udziału w postępowaniu, braku podstaw do wykluczenia z postępowania jak i potwierdzenia wymogów Zamawiającego dotyczących wykonania przedmiotu zamówienia, a których dane osobowe zawarte są w składanej ofercie lub jakimkolwiek dokumencie składanym w postępowaniu o udzielenie zamówienia o:</w:t>
      </w:r>
    </w:p>
    <w:p>
      <w:pPr>
        <w:pStyle w:val="Normal"/>
        <w:spacing w:lineRule="auto" w:line="240" w:before="0" w:after="0"/>
        <w:ind w:hanging="0" w:left="426" w:right="33"/>
        <w:rPr>
          <w:rFonts w:ascii="Arial" w:hAnsi="Arial" w:cs="Arial"/>
          <w:sz w:val="22"/>
        </w:rPr>
      </w:pPr>
      <w:r>
        <w:rPr>
          <w:rFonts w:eastAsia="Segoe UI Symbol" w:cs="Arial" w:ascii="Arial" w:hAnsi="Arial"/>
          <w:color w:val="auto"/>
          <w:sz w:val="22"/>
          <w:vertAlign w:val="superscript"/>
        </w:rPr>
        <w:t>−</w:t>
      </w:r>
      <w:r>
        <w:rPr>
          <w:rFonts w:eastAsia="Arial" w:cs="Arial" w:ascii="Arial" w:hAnsi="Arial"/>
          <w:color w:val="auto"/>
          <w:sz w:val="22"/>
        </w:rPr>
        <w:t xml:space="preserve"> </w:t>
      </w:r>
      <w:r>
        <w:rPr>
          <w:rFonts w:cs="Arial" w:ascii="Arial" w:hAnsi="Arial"/>
          <w:color w:val="auto"/>
          <w:sz w:val="22"/>
        </w:rPr>
        <w:t>fakcie przekazania danych osobowych podmiotowi określonemu w lit. a</w:t>
      </w:r>
      <w:r>
        <w:rPr>
          <w:rFonts w:cs="Arial" w:ascii="Arial" w:hAnsi="Arial"/>
          <w:sz w:val="22"/>
        </w:rPr>
        <w:t>,</w:t>
      </w:r>
    </w:p>
    <w:p>
      <w:pPr>
        <w:pStyle w:val="Normal"/>
        <w:spacing w:lineRule="auto" w:line="240" w:before="0" w:after="0"/>
        <w:ind w:hanging="0" w:left="426" w:right="33"/>
        <w:rPr>
          <w:rFonts w:ascii="Arial" w:hAnsi="Arial" w:cs="Arial"/>
          <w:sz w:val="22"/>
        </w:rPr>
      </w:pPr>
      <w:r>
        <w:rPr>
          <w:rFonts w:eastAsia="Segoe UI Symbol" w:cs="Arial" w:ascii="Arial" w:hAnsi="Arial"/>
          <w:sz w:val="22"/>
          <w:vertAlign w:val="superscript"/>
        </w:rPr>
        <w:t>−</w:t>
      </w:r>
      <w:r>
        <w:rPr>
          <w:rFonts w:eastAsia="Arial" w:cs="Arial" w:ascii="Arial" w:hAnsi="Arial"/>
          <w:sz w:val="22"/>
        </w:rPr>
        <w:t xml:space="preserve"> </w:t>
      </w:r>
      <w:r>
        <w:rPr>
          <w:rFonts w:cs="Arial" w:ascii="Arial" w:hAnsi="Arial"/>
          <w:sz w:val="22"/>
        </w:rPr>
        <w:t xml:space="preserve">przetwarzaniu danych osobowych przez podmiot określony </w:t>
      </w:r>
      <w:r>
        <w:rPr>
          <w:rFonts w:cs="Arial" w:ascii="Arial" w:hAnsi="Arial"/>
          <w:color w:val="auto"/>
          <w:sz w:val="22"/>
        </w:rPr>
        <w:t>w lit. a</w:t>
      </w:r>
      <w:r>
        <w:rPr>
          <w:rFonts w:cs="Arial" w:ascii="Arial" w:hAnsi="Arial"/>
          <w:sz w:val="22"/>
        </w:rPr>
        <w:t>.</w:t>
      </w:r>
    </w:p>
    <w:p>
      <w:pPr>
        <w:pStyle w:val="Normal"/>
        <w:spacing w:lineRule="auto" w:line="240" w:before="0" w:after="0"/>
        <w:ind w:hanging="10" w:left="426" w:right="33"/>
        <w:rPr>
          <w:rFonts w:ascii="Arial" w:hAnsi="Arial" w:cs="Arial"/>
          <w:sz w:val="22"/>
        </w:rPr>
      </w:pPr>
      <w:r>
        <w:rPr>
          <w:rFonts w:cs="Arial" w:ascii="Arial" w:hAnsi="Arial"/>
          <w:b/>
          <w:sz w:val="22"/>
        </w:rPr>
        <w:t>Obowiązek ten jest uregulowany w art. 14 RODO. W związku z powyższym Zamawiający przypomina, że obowiązek informacyjny określony przepisami RODO spoczywa także na Wykonawcach</w:t>
      </w:r>
      <w:r>
        <w:rPr>
          <w:rFonts w:cs="Arial" w:ascii="Arial" w:hAnsi="Arial"/>
          <w:sz w:val="22"/>
        </w:rPr>
        <w:t>, którzy pozyskują dane osobowe osób trzecich w celu przekazania ich Zamawiającemu w ofertach.</w:t>
      </w:r>
    </w:p>
    <w:p>
      <w:pPr>
        <w:pStyle w:val="Normal"/>
        <w:spacing w:lineRule="auto" w:line="240" w:before="0" w:after="0"/>
        <w:ind w:hanging="9" w:left="426" w:right="33"/>
        <w:rPr>
          <w:rFonts w:ascii="Arial" w:hAnsi="Arial" w:cs="Arial"/>
          <w:color w:val="auto"/>
          <w:sz w:val="22"/>
          <w:u w:val="single"/>
        </w:rPr>
      </w:pPr>
      <w:r>
        <w:rPr>
          <w:rFonts w:cs="Arial" w:ascii="Arial" w:hAnsi="Arial"/>
          <w:color w:val="auto"/>
          <w:sz w:val="22"/>
          <w:u w:val="single"/>
        </w:rPr>
      </w:r>
    </w:p>
    <w:p>
      <w:pPr>
        <w:pStyle w:val="Default"/>
        <w:numPr>
          <w:ilvl w:val="0"/>
          <w:numId w:val="4"/>
        </w:numPr>
        <w:ind w:hanging="432" w:left="426"/>
        <w:jc w:val="both"/>
        <w:rPr>
          <w:rFonts w:ascii="Arial" w:hAnsi="Arial" w:cs="Arial"/>
          <w:b/>
          <w:sz w:val="22"/>
          <w:szCs w:val="22"/>
          <w:u w:val="single"/>
        </w:rPr>
      </w:pPr>
      <w:r>
        <w:rPr>
          <w:rFonts w:cs="Arial" w:ascii="Arial" w:hAnsi="Arial"/>
          <w:b/>
          <w:sz w:val="22"/>
          <w:szCs w:val="22"/>
          <w:u w:val="single"/>
        </w:rPr>
        <w:t>Adres strony internetowej, na której udostępniane będą zmiany i wyjaśnienia treści SWZ oraz inne dokumenty zamówienia bezpośrednio związane z postępowaniem o udzielenie zamówienia:</w:t>
      </w:r>
    </w:p>
    <w:p>
      <w:pPr>
        <w:pStyle w:val="Normal"/>
        <w:spacing w:lineRule="auto" w:line="240" w:before="0" w:after="0"/>
        <w:ind w:hanging="10" w:left="426" w:right="33"/>
        <w:rPr>
          <w:rFonts w:ascii="Arial" w:hAnsi="Arial" w:cs="Arial"/>
          <w:sz w:val="22"/>
        </w:rPr>
      </w:pPr>
      <w:hyperlink r:id="rId6">
        <w:r>
          <w:rPr>
            <w:rStyle w:val="Hyperlink"/>
            <w:rFonts w:cs="Arial" w:ascii="Arial" w:hAnsi="Arial"/>
            <w:sz w:val="22"/>
          </w:rPr>
          <w:t>https://platformazakupowa.pl/transakcja/985140</w:t>
        </w:r>
      </w:hyperlink>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32" w:left="426"/>
        <w:jc w:val="both"/>
        <w:rPr>
          <w:rFonts w:ascii="Arial" w:hAnsi="Arial" w:cs="Arial"/>
          <w:sz w:val="22"/>
          <w:szCs w:val="22"/>
        </w:rPr>
      </w:pPr>
      <w:r>
        <w:rPr>
          <w:rFonts w:cs="Arial" w:ascii="Arial" w:hAnsi="Arial"/>
          <w:b/>
          <w:sz w:val="22"/>
          <w:szCs w:val="22"/>
          <w:u w:val="single"/>
        </w:rPr>
        <w:t>Tryb udzielenia zamówienia:</w:t>
      </w:r>
    </w:p>
    <w:p>
      <w:pPr>
        <w:pStyle w:val="Default"/>
        <w:ind w:left="426"/>
        <w:jc w:val="both"/>
        <w:rPr>
          <w:rFonts w:ascii="Arial" w:hAnsi="Arial" w:cs="Arial"/>
          <w:sz w:val="22"/>
          <w:szCs w:val="22"/>
        </w:rPr>
      </w:pPr>
      <w:r>
        <w:rPr>
          <w:rFonts w:cs="Arial" w:ascii="Arial" w:hAnsi="Arial"/>
          <w:sz w:val="22"/>
          <w:szCs w:val="22"/>
        </w:rPr>
        <w:t xml:space="preserve">Postępowanie o udzielenie przedmiotowego zamówienia publicznego </w:t>
      </w:r>
      <w:bookmarkStart w:id="2" w:name="_Hlk127454603"/>
      <w:r>
        <w:rPr>
          <w:rFonts w:cs="Arial" w:ascii="Arial" w:hAnsi="Arial"/>
          <w:sz w:val="22"/>
          <w:szCs w:val="22"/>
        </w:rPr>
        <w:t xml:space="preserve">prowadzone jest dla wartości zamówienia mniejszej niż próg unijny - w trybie podstawowym na podstawie art. 275 pkt 2) ustawy z dnia 11 września 2019 r. Prawo zamówień publicznych </w:t>
      </w:r>
      <w:bookmarkEnd w:id="2"/>
      <w:r>
        <w:rPr>
          <w:rFonts w:cs="Arial" w:ascii="Arial" w:hAnsi="Arial"/>
          <w:sz w:val="22"/>
          <w:szCs w:val="22"/>
        </w:rPr>
        <w:t>oraz przepisów wykonawczych wydanych na jej podstawie (tj.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o ile przewidział taką możliwość, a po zakończeniu negocjacji zamawiający zaprasza wykonawców do składania ofert dodatkowych).</w:t>
      </w:r>
    </w:p>
    <w:p>
      <w:pPr>
        <w:pStyle w:val="Default"/>
        <w:ind w:left="426"/>
        <w:jc w:val="both"/>
        <w:rPr>
          <w:rFonts w:ascii="Arial" w:hAnsi="Arial" w:cs="Arial"/>
          <w:sz w:val="22"/>
          <w:szCs w:val="22"/>
        </w:rPr>
      </w:pPr>
      <w:r>
        <w:rPr>
          <w:rFonts w:cs="Arial" w:ascii="Arial" w:hAnsi="Arial"/>
          <w:sz w:val="22"/>
          <w:szCs w:val="22"/>
        </w:rPr>
        <w:t>Zamawiający przewiduje wybór najkorzystniejszej oferty z możliwością prowadzenia negocjacji.</w:t>
      </w:r>
    </w:p>
    <w:p>
      <w:pPr>
        <w:pStyle w:val="Default"/>
        <w:ind w:left="426"/>
        <w:jc w:val="both"/>
        <w:rPr>
          <w:rFonts w:ascii="Arial" w:hAnsi="Arial" w:cs="Arial"/>
          <w:sz w:val="22"/>
          <w:szCs w:val="22"/>
        </w:rPr>
      </w:pPr>
      <w:r>
        <w:rPr>
          <w:rFonts w:cs="Arial" w:ascii="Arial" w:hAnsi="Arial"/>
          <w:sz w:val="22"/>
          <w:szCs w:val="22"/>
        </w:rPr>
        <w:t>Zamawiający nie przewiduje możliwości ograniczenia liczby wykonawców, których zaprosi do negocjacji, stosując ww. kryteria oceny ofert.</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Gdy Zamawiający nie będzie prowadził negocjacji, dokona wyboru najkorzystniejszej oferty spośród niepodlegających odrzuceniu ofert złożonych w odpowiedzi na ogłoszenie o zamówieniu.</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Jeżeli Zamawiający zdecyduje, że będzie prowadził negocjacje, wówczas zweryfikuje wskazane w art. 226 ust. 1 pkt 2 lit. a i b Pzp przesłanki odrzucenia oferty złożonej w odpowiedzi na ogłoszenie wyłącznie na podstawie oświadczenia, o którym mowa w art. 125 ust. 1 Pzp, i wezwie, na podstawie art. 274 ust. 1 Pzp, do złożenia podmiotowych środków dowodowych po ocenie ofert złożonych w odpowiedzi na ogłoszenie wraz z ofertami dodatkowymi (jeśli zostaną złożone).</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poinformuje równocześnie wszystkich wykonawców, którzy w odpowiedzi na ogłoszenie o zamówieniu złożyli oferty, o wykonawcach:</w:t>
      </w:r>
    </w:p>
    <w:p>
      <w:pPr>
        <w:pStyle w:val="Default"/>
        <w:ind w:hanging="425" w:left="851"/>
        <w:jc w:val="both"/>
        <w:rPr>
          <w:rFonts w:ascii="Arial" w:hAnsi="Arial" w:cs="Arial"/>
          <w:sz w:val="22"/>
          <w:szCs w:val="22"/>
        </w:rPr>
      </w:pPr>
      <w:r>
        <w:rPr>
          <w:rFonts w:cs="Arial" w:ascii="Arial" w:hAnsi="Arial"/>
          <w:sz w:val="22"/>
          <w:szCs w:val="22"/>
        </w:rPr>
        <w:t>1)</w:t>
        <w:tab/>
        <w:t>których oferty nie zostały odrzucone, oraz punktacji przyznanej ofertom w każdym kryterium oceny ofert i łącznej punktacji,</w:t>
      </w:r>
    </w:p>
    <w:p>
      <w:pPr>
        <w:pStyle w:val="Default"/>
        <w:ind w:hanging="425" w:left="851"/>
        <w:jc w:val="both"/>
        <w:rPr>
          <w:rFonts w:ascii="Arial" w:hAnsi="Arial" w:cs="Arial"/>
          <w:sz w:val="22"/>
          <w:szCs w:val="22"/>
        </w:rPr>
      </w:pPr>
      <w:r>
        <w:rPr>
          <w:rFonts w:cs="Arial" w:ascii="Arial" w:hAnsi="Arial"/>
          <w:sz w:val="22"/>
          <w:szCs w:val="22"/>
        </w:rPr>
        <w:t>2)</w:t>
        <w:tab/>
        <w:t>których oferty zostały odrzucone,</w:t>
      </w:r>
    </w:p>
    <w:p>
      <w:pPr>
        <w:pStyle w:val="Default"/>
        <w:ind w:hanging="425" w:left="851"/>
        <w:jc w:val="both"/>
        <w:rPr>
          <w:rFonts w:ascii="Arial" w:hAnsi="Arial" w:cs="Arial"/>
          <w:sz w:val="22"/>
          <w:szCs w:val="22"/>
        </w:rPr>
      </w:pPr>
      <w:r>
        <w:rPr>
          <w:rFonts w:cs="Arial" w:ascii="Arial" w:hAnsi="Arial"/>
          <w:sz w:val="22"/>
          <w:szCs w:val="22"/>
        </w:rPr>
        <w:t>3)</w:t>
        <w:tab/>
        <w:t>którzy nie zostali zakwalifikowani do negocjacji, oraz punktacji przyznanej ich ofertom w każdym kryterium oceny ofert i łącznej punktacji, w przypadku, o którym mowa w art. 288 ust. 1 (nie dotyczy - Zamawiający nie przewiduje możliwości ograniczenia liczby wykonawców, których zaprosi do negocjacji)</w:t>
      </w:r>
    </w:p>
    <w:p>
      <w:pPr>
        <w:pStyle w:val="Default"/>
        <w:ind w:left="426"/>
        <w:jc w:val="both"/>
        <w:rPr>
          <w:rFonts w:ascii="Arial" w:hAnsi="Arial" w:cs="Arial"/>
          <w:sz w:val="22"/>
          <w:szCs w:val="22"/>
        </w:rPr>
      </w:pPr>
      <w:r>
        <w:rPr>
          <w:rFonts w:cs="Arial" w:ascii="Arial" w:hAnsi="Arial"/>
          <w:sz w:val="22"/>
          <w:szCs w:val="22"/>
        </w:rPr>
        <w:t xml:space="preserve">– </w:t>
      </w:r>
      <w:r>
        <w:rPr>
          <w:rFonts w:cs="Arial" w:ascii="Arial" w:hAnsi="Arial"/>
          <w:sz w:val="22"/>
          <w:szCs w:val="22"/>
        </w:rPr>
        <w:t>podając uzasadnienie faktyczne i prawne.</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może zaprosić jednocześnie (zaproszenie wykonawców do negocjacji ofert nastąpi jednocześnie) wykonawców do negocjacji ofert złożonych w odpowiedzi na ogłoszenie o zamówieniu, jeżeli nie będą podlegały one odrzuceniu.</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w zaproszeniu do negocjacji wskaże miejsce, termin i sposób prowadzenia negocjacji oraz kryteria oceny ofert, w ramach których będą prowadzone negocjacje w celu ulepszenia treści ofert.</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Zgodnie z art. 278 ustawy Pzp negocjacje treści ofert:</w:t>
      </w:r>
    </w:p>
    <w:p>
      <w:pPr>
        <w:pStyle w:val="Default"/>
        <w:ind w:hanging="425" w:left="851"/>
        <w:jc w:val="both"/>
        <w:rPr>
          <w:rFonts w:ascii="Arial" w:hAnsi="Arial" w:cs="Arial"/>
          <w:sz w:val="22"/>
          <w:szCs w:val="22"/>
        </w:rPr>
      </w:pPr>
      <w:r>
        <w:rPr>
          <w:rFonts w:cs="Arial" w:ascii="Arial" w:hAnsi="Arial"/>
          <w:sz w:val="22"/>
          <w:szCs w:val="22"/>
        </w:rPr>
        <w:t>1)</w:t>
        <w:tab/>
        <w:t>nie mogą prowadzić do zmiany treści SWZ;</w:t>
      </w:r>
    </w:p>
    <w:p>
      <w:pPr>
        <w:pStyle w:val="Default"/>
        <w:ind w:hanging="425" w:left="851"/>
        <w:jc w:val="both"/>
        <w:rPr>
          <w:rFonts w:ascii="Arial" w:hAnsi="Arial" w:cs="Arial"/>
          <w:sz w:val="22"/>
          <w:szCs w:val="22"/>
        </w:rPr>
      </w:pPr>
      <w:r>
        <w:rPr>
          <w:rFonts w:cs="Arial" w:ascii="Arial" w:hAnsi="Arial"/>
          <w:sz w:val="22"/>
          <w:szCs w:val="22"/>
        </w:rPr>
        <w:t>2)</w:t>
        <w:tab/>
        <w:t>dotyczą wyłącznie tych elementów treści ofert, które podlegają ocenie w ramach kryteriów oceny ofert – tj. ceny ofertowej (brutto) za realizację przedmiotu zamówienia.</w:t>
      </w:r>
    </w:p>
    <w:p>
      <w:pPr>
        <w:pStyle w:val="Default"/>
        <w:ind w:left="426"/>
        <w:jc w:val="both"/>
        <w:rPr>
          <w:rFonts w:ascii="Arial" w:hAnsi="Arial" w:cs="Arial"/>
          <w:sz w:val="22"/>
          <w:szCs w:val="22"/>
        </w:rPr>
      </w:pPr>
      <w:r>
        <w:rPr>
          <w:rFonts w:cs="Arial" w:ascii="Arial" w:hAnsi="Arial"/>
          <w:sz w:val="22"/>
          <w:szCs w:val="22"/>
        </w:rPr>
        <w:t>Podczas negocjacji ofert Zamawiający zapewnia równe traktowanie wszystkich wykonawców. Zamawiający nie udziela informacji w sposób, który mógłby zapewnić niektórym wykonawcom przewagę nad innymi wykonawcami.</w:t>
      </w:r>
    </w:p>
    <w:p>
      <w:pPr>
        <w:pStyle w:val="Default"/>
        <w:ind w:left="426"/>
        <w:jc w:val="both"/>
        <w:rPr>
          <w:rFonts w:ascii="Arial" w:hAnsi="Arial" w:cs="Arial"/>
          <w:sz w:val="22"/>
          <w:szCs w:val="22"/>
        </w:rPr>
      </w:pPr>
      <w:r>
        <w:rPr>
          <w:rFonts w:cs="Arial" w:ascii="Arial" w:hAnsi="Arial"/>
          <w:sz w:val="22"/>
          <w:szCs w:val="22"/>
        </w:rPr>
        <w:t>Prowadzone negocjacje będą miały charakter poufny. Zgodnie z ustawą Pzp Zamawiający udostępnia oferty wraz z załącznikami złożone w odpowiedzi na ogłoszenie o zamówieniu niezwłocznie po otwarciu tych ofert, nie później jednak niż w terminie 3 dni od dnia ich otwarcia.</w:t>
      </w:r>
    </w:p>
    <w:p>
      <w:pPr>
        <w:pStyle w:val="Default"/>
        <w:ind w:left="426"/>
        <w:jc w:val="both"/>
        <w:rPr>
          <w:rFonts w:ascii="Arial" w:hAnsi="Arial" w:cs="Arial"/>
          <w:sz w:val="22"/>
          <w:szCs w:val="22"/>
        </w:rPr>
      </w:pPr>
      <w:r>
        <w:rPr>
          <w:rFonts w:cs="Arial" w:ascii="Arial" w:hAnsi="Arial"/>
          <w:sz w:val="22"/>
          <w:szCs w:val="22"/>
        </w:rPr>
        <w:t>Żadna ze stron nie może, bez zgody drugiej strony, ujawniać informacji technicznych i handlowych związanych z negocjacjami. Zgoda jest udzielana w odniesieniu do konkretnych informacji i przed ich ujawnieniem.</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poinformuje równocześnie wszystkich wykonawców, których oferty złożone w odpowiedzi na ogłoszenie o zamówieniu nie zostały odrzucone, o zakończeniu negocjacji oraz zaprosi ich do składania ofert dodatkowych.</w:t>
      </w:r>
    </w:p>
    <w:p>
      <w:pPr>
        <w:pStyle w:val="Default"/>
        <w:ind w:left="426"/>
        <w:jc w:val="both"/>
        <w:rPr>
          <w:rFonts w:ascii="Arial" w:hAnsi="Arial" w:cs="Arial"/>
          <w:sz w:val="22"/>
          <w:szCs w:val="22"/>
        </w:rPr>
      </w:pPr>
      <w:r>
        <w:rPr>
          <w:rFonts w:cs="Arial" w:ascii="Arial" w:hAnsi="Arial"/>
          <w:sz w:val="22"/>
          <w:szCs w:val="22"/>
        </w:rPr>
        <w:t>Zaproszenie do składania ofert dodatkowych będzie zawierało co najmniej:</w:t>
      </w:r>
    </w:p>
    <w:p>
      <w:pPr>
        <w:pStyle w:val="Default"/>
        <w:ind w:hanging="425" w:left="851"/>
        <w:jc w:val="both"/>
        <w:rPr>
          <w:rFonts w:ascii="Arial" w:hAnsi="Arial" w:cs="Arial"/>
          <w:sz w:val="22"/>
          <w:szCs w:val="22"/>
        </w:rPr>
      </w:pPr>
      <w:r>
        <w:rPr>
          <w:rFonts w:cs="Arial" w:ascii="Arial" w:hAnsi="Arial"/>
          <w:sz w:val="22"/>
          <w:szCs w:val="22"/>
        </w:rPr>
        <w:t>1)</w:t>
        <w:tab/>
        <w:t>nazwę oraz adres zamawiającego, numer telefonu, adres poczty elektronicznej oraz strony internetowej prowadzonego postępowania;</w:t>
      </w:r>
    </w:p>
    <w:p>
      <w:pPr>
        <w:pStyle w:val="Default"/>
        <w:ind w:hanging="425" w:left="851"/>
        <w:jc w:val="both"/>
        <w:rPr>
          <w:rFonts w:ascii="Arial" w:hAnsi="Arial" w:cs="Arial"/>
          <w:sz w:val="22"/>
          <w:szCs w:val="22"/>
        </w:rPr>
      </w:pPr>
      <w:r>
        <w:rPr>
          <w:rFonts w:cs="Arial" w:ascii="Arial" w:hAnsi="Arial"/>
          <w:sz w:val="22"/>
          <w:szCs w:val="22"/>
        </w:rPr>
        <w:t>2)</w:t>
        <w:tab/>
        <w:t>sposób i termin składania ofert dodatkowych oraz język lub języki, w jakich muszą one być sporządzone, oraz termin otwarcia tych ofert.</w:t>
      </w:r>
    </w:p>
    <w:p>
      <w:pPr>
        <w:pStyle w:val="Default"/>
        <w:ind w:left="426"/>
        <w:jc w:val="both"/>
        <w:rPr>
          <w:rFonts w:ascii="Arial" w:hAnsi="Arial" w:cs="Arial"/>
          <w:sz w:val="22"/>
          <w:szCs w:val="22"/>
        </w:rPr>
      </w:pPr>
      <w:r>
        <w:rPr>
          <w:rFonts w:cs="Arial" w:ascii="Arial" w:hAnsi="Arial"/>
          <w:sz w:val="22"/>
          <w:szCs w:val="22"/>
        </w:rPr>
        <w:t>Zamawiający wyznaczy termin na złożenie ofert dodatkowych z uwzględnieniem czasu potrzebnego na przygotowanie tych ofert, z tym że zgodnie z zapisami ustawy Pzp termin ten nie może być krótszy niż 5 dni od dnia przekazania zaproszenia do składania ofert dodatkowych.</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 xml:space="preserve">Wykonawca może złożyć ofertę dodatkową, która zawiera nowe propozycje w zakresie treści oferty podlegających ocenie w ramach kryteriów oceny ofert wskazanych przez Zamawiającego w zaproszeniu do negocjacji. </w:t>
      </w:r>
    </w:p>
    <w:p>
      <w:pPr>
        <w:pStyle w:val="Default"/>
        <w:ind w:left="426"/>
        <w:jc w:val="both"/>
        <w:rPr>
          <w:rFonts w:ascii="Arial" w:hAnsi="Arial" w:cs="Arial"/>
          <w:sz w:val="22"/>
          <w:szCs w:val="22"/>
        </w:rPr>
      </w:pPr>
      <w:r>
        <w:rPr>
          <w:rFonts w:cs="Arial" w:ascii="Arial" w:hAnsi="Arial"/>
          <w:sz w:val="22"/>
          <w:szCs w:val="22"/>
        </w:rPr>
        <w:t>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w:t>
      </w:r>
    </w:p>
    <w:p>
      <w:pPr>
        <w:pStyle w:val="Default"/>
        <w:ind w:left="426"/>
        <w:jc w:val="both"/>
        <w:rPr>
          <w:rFonts w:ascii="Arial" w:hAnsi="Arial" w:cs="Arial"/>
          <w:sz w:val="22"/>
          <w:szCs w:val="22"/>
        </w:rPr>
      </w:pPr>
      <w:r>
        <w:rPr>
          <w:rFonts w:cs="Arial" w:ascii="Arial" w:hAnsi="Arial"/>
          <w:sz w:val="22"/>
          <w:szCs w:val="22"/>
        </w:rPr>
        <w:t>Oferta dodatkowa, która jest mniej korzystna w którymkolwiek z kryteriów oceny ofert wskazanych w zaproszeniu do negocjacji niż oferta złożona w odpowiedzi na ogłoszenie o zamówieniu, podlega odrzuceniu.</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32" w:left="426"/>
        <w:jc w:val="both"/>
        <w:rPr>
          <w:rFonts w:ascii="Arial" w:hAnsi="Arial" w:cs="Arial"/>
          <w:sz w:val="22"/>
          <w:szCs w:val="22"/>
        </w:rPr>
      </w:pPr>
      <w:r>
        <w:rPr>
          <w:rFonts w:cs="Arial" w:ascii="Arial" w:hAnsi="Arial"/>
          <w:b/>
          <w:sz w:val="22"/>
          <w:szCs w:val="22"/>
          <w:u w:val="single"/>
        </w:rPr>
        <w:t>Informację, czy zamawiający przewiduje wybór najkorzystniejszej oferty z możliwością prowadzenia negocjacji:</w:t>
      </w:r>
    </w:p>
    <w:p>
      <w:pPr>
        <w:pStyle w:val="Default"/>
        <w:ind w:left="426"/>
        <w:jc w:val="both"/>
        <w:rPr>
          <w:rFonts w:ascii="Arial" w:hAnsi="Arial" w:cs="Arial"/>
          <w:sz w:val="22"/>
          <w:szCs w:val="22"/>
        </w:rPr>
      </w:pPr>
      <w:r>
        <w:rPr>
          <w:rFonts w:cs="Arial" w:ascii="Arial" w:hAnsi="Arial"/>
          <w:sz w:val="22"/>
          <w:szCs w:val="22"/>
        </w:rPr>
        <w:t>Zamawiający przewiduje wybór najkorzystniejszej oferty po przeprowadzeniu negocjacji.</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32" w:left="426"/>
        <w:jc w:val="both"/>
        <w:rPr>
          <w:rFonts w:ascii="Arial" w:hAnsi="Arial" w:cs="Arial"/>
          <w:sz w:val="22"/>
          <w:szCs w:val="22"/>
        </w:rPr>
      </w:pPr>
      <w:r>
        <w:rPr>
          <w:rFonts w:cs="Arial" w:ascii="Arial" w:hAnsi="Arial"/>
          <w:b/>
          <w:sz w:val="22"/>
          <w:szCs w:val="22"/>
          <w:u w:val="single"/>
        </w:rPr>
        <w:t>Opis przedmiotu zamówienia:</w:t>
      </w:r>
    </w:p>
    <w:p>
      <w:pPr>
        <w:pStyle w:val="Normal"/>
        <w:spacing w:lineRule="auto" w:line="240" w:before="0" w:after="0"/>
        <w:ind w:hanging="0" w:left="426"/>
        <w:rPr>
          <w:rFonts w:ascii="Arial" w:hAnsi="Arial" w:cs="Arial"/>
          <w:sz w:val="22"/>
        </w:rPr>
      </w:pPr>
      <w:r>
        <w:rPr>
          <w:rFonts w:cs="Arial" w:ascii="Arial" w:hAnsi="Arial"/>
          <w:sz w:val="22"/>
        </w:rPr>
        <w:t>Przedmiotem zamówienia jest</w:t>
      </w:r>
      <w:r>
        <w:rPr>
          <w:rFonts w:eastAsia="" w:cs="Arial" w:ascii="Arial" w:hAnsi="Arial" w:eastAsiaTheme="minorEastAsia"/>
          <w:bCs/>
          <w:color w:val="auto"/>
          <w:sz w:val="22"/>
        </w:rPr>
        <w:t xml:space="preserve"> budowa budynku mieszkalnego wielorodzinnego z wbudowanym garażem podziemnym wielostanowiskowym, zagospodarowaniem terenu, w tym: przyłączami wodnym, kanalizacji sanitarnej i kanalizacji deszczowej, dwoma zjazdami z ulicy Polnej oraz zewnętrznymi instalacjami wewnętrznymi, zlokalizowanego w Szczekocinach, przy ul. Polnej.</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sz w:val="22"/>
        </w:rPr>
      </w:pPr>
      <w:r>
        <w:rPr>
          <w:rFonts w:cs="Arial" w:ascii="Arial" w:hAnsi="Arial"/>
          <w:sz w:val="22"/>
        </w:rPr>
        <w:t>Nazwa/y i kod/y Wspólnego Słownika Zamówień: (CPV):</w:t>
      </w:r>
    </w:p>
    <w:p>
      <w:pPr>
        <w:pStyle w:val="Normal"/>
        <w:spacing w:lineRule="auto" w:line="240" w:before="0" w:after="0"/>
        <w:ind w:hanging="1275" w:left="1701"/>
        <w:rPr>
          <w:rFonts w:ascii="Arial" w:hAnsi="Arial" w:cs="Arial"/>
          <w:sz w:val="22"/>
        </w:rPr>
      </w:pPr>
      <w:r>
        <w:rPr>
          <w:rFonts w:cs="Arial" w:ascii="Arial" w:hAnsi="Arial"/>
          <w:sz w:val="22"/>
        </w:rPr>
        <w:t xml:space="preserve">45000000-7 - </w:t>
        <w:tab/>
        <w:t>Roboty budowlane,</w:t>
      </w:r>
    </w:p>
    <w:p>
      <w:pPr>
        <w:pStyle w:val="Normal"/>
        <w:spacing w:lineRule="auto" w:line="240" w:before="0" w:after="0"/>
        <w:ind w:hanging="1275" w:left="1701"/>
        <w:rPr>
          <w:rFonts w:ascii="Arial" w:hAnsi="Arial" w:cs="Arial"/>
          <w:sz w:val="22"/>
        </w:rPr>
      </w:pPr>
      <w:r>
        <w:rPr>
          <w:rFonts w:cs="Arial" w:ascii="Arial" w:hAnsi="Arial"/>
          <w:sz w:val="22"/>
        </w:rPr>
        <w:t xml:space="preserve">45211340-4 - </w:t>
        <w:tab/>
        <w:t>Roboty budowlane w zakresie budownictwa wielorodzinnego,</w:t>
      </w:r>
    </w:p>
    <w:p>
      <w:pPr>
        <w:pStyle w:val="Normal"/>
        <w:spacing w:lineRule="auto" w:line="240" w:before="0" w:after="0"/>
        <w:ind w:hanging="1275" w:left="1701"/>
        <w:rPr>
          <w:rFonts w:ascii="Arial" w:hAnsi="Arial" w:cs="Arial"/>
          <w:sz w:val="22"/>
        </w:rPr>
      </w:pPr>
      <w:r>
        <w:rPr>
          <w:rFonts w:cs="Arial" w:ascii="Arial" w:hAnsi="Arial"/>
          <w:sz w:val="22"/>
        </w:rPr>
        <w:t xml:space="preserve">45320000-6 - </w:t>
        <w:tab/>
        <w:t>Roboty izolacyjne,</w:t>
      </w:r>
    </w:p>
    <w:p>
      <w:pPr>
        <w:pStyle w:val="Normal"/>
        <w:spacing w:lineRule="auto" w:line="240" w:before="0" w:after="0"/>
        <w:ind w:hanging="1275" w:left="1701"/>
        <w:rPr>
          <w:rFonts w:ascii="Arial" w:hAnsi="Arial" w:cs="Arial"/>
          <w:sz w:val="22"/>
        </w:rPr>
      </w:pPr>
      <w:r>
        <w:rPr>
          <w:rFonts w:cs="Arial" w:ascii="Arial" w:hAnsi="Arial"/>
          <w:sz w:val="22"/>
        </w:rPr>
        <w:t xml:space="preserve">45450000-6 - </w:t>
        <w:tab/>
        <w:t>Roboty budowlane wykończeniowe, pozostałe,</w:t>
      </w:r>
    </w:p>
    <w:p>
      <w:pPr>
        <w:pStyle w:val="Normal"/>
        <w:spacing w:lineRule="auto" w:line="240" w:before="0" w:after="0"/>
        <w:ind w:hanging="1275" w:left="1701"/>
        <w:rPr>
          <w:rFonts w:ascii="Arial" w:hAnsi="Arial" w:cs="Arial"/>
          <w:sz w:val="22"/>
        </w:rPr>
      </w:pPr>
      <w:r>
        <w:rPr>
          <w:rFonts w:cs="Arial" w:ascii="Arial" w:hAnsi="Arial"/>
          <w:sz w:val="22"/>
        </w:rPr>
        <w:t xml:space="preserve">45310000-3 - </w:t>
        <w:tab/>
        <w:t>Roboty instalacyjne elektryczne,</w:t>
      </w:r>
    </w:p>
    <w:p>
      <w:pPr>
        <w:pStyle w:val="Normal"/>
        <w:spacing w:lineRule="auto" w:line="240" w:before="0" w:after="0"/>
        <w:ind w:hanging="1275" w:left="1701"/>
        <w:rPr>
          <w:rFonts w:ascii="Arial" w:hAnsi="Arial" w:cs="Arial"/>
          <w:sz w:val="22"/>
        </w:rPr>
      </w:pPr>
      <w:r>
        <w:rPr>
          <w:rFonts w:cs="Arial" w:ascii="Arial" w:hAnsi="Arial"/>
          <w:sz w:val="22"/>
        </w:rPr>
        <w:t xml:space="preserve">45111100-9 - </w:t>
        <w:tab/>
        <w:t>Roboty w zakresie burzenia,</w:t>
      </w:r>
    </w:p>
    <w:p>
      <w:pPr>
        <w:pStyle w:val="Normal"/>
        <w:spacing w:lineRule="auto" w:line="240" w:before="0" w:after="0"/>
        <w:ind w:hanging="1275" w:left="1701"/>
        <w:rPr>
          <w:rFonts w:ascii="Arial" w:hAnsi="Arial" w:cs="Arial"/>
          <w:sz w:val="22"/>
        </w:rPr>
      </w:pPr>
      <w:r>
        <w:rPr>
          <w:rFonts w:cs="Arial" w:ascii="Arial" w:hAnsi="Arial"/>
          <w:sz w:val="22"/>
        </w:rPr>
        <w:t xml:space="preserve">45111220-6 - </w:t>
        <w:tab/>
        <w:t>Roboty w zakresie usuwania gruzu,</w:t>
      </w:r>
    </w:p>
    <w:p>
      <w:pPr>
        <w:pStyle w:val="Normal"/>
        <w:spacing w:lineRule="auto" w:line="240" w:before="0" w:after="0"/>
        <w:ind w:hanging="1275" w:left="1701"/>
        <w:rPr>
          <w:rFonts w:ascii="Arial" w:hAnsi="Arial" w:cs="Arial"/>
          <w:sz w:val="22"/>
        </w:rPr>
      </w:pPr>
      <w:r>
        <w:rPr>
          <w:rFonts w:cs="Arial" w:ascii="Arial" w:hAnsi="Arial"/>
          <w:sz w:val="22"/>
        </w:rPr>
        <w:t xml:space="preserve">45262500-6 - </w:t>
        <w:tab/>
        <w:t>Roboty murarskie i murowe,</w:t>
      </w:r>
    </w:p>
    <w:p>
      <w:pPr>
        <w:pStyle w:val="Normal"/>
        <w:spacing w:lineRule="auto" w:line="240" w:before="0" w:after="0"/>
        <w:ind w:hanging="1701" w:left="2127"/>
        <w:rPr>
          <w:rFonts w:ascii="Arial" w:hAnsi="Arial" w:cs="Arial"/>
          <w:sz w:val="22"/>
        </w:rPr>
      </w:pPr>
      <w:r>
        <w:rPr>
          <w:rFonts w:cs="Arial" w:ascii="Arial" w:hAnsi="Arial"/>
          <w:sz w:val="22"/>
        </w:rPr>
        <w:t xml:space="preserve">45260000-7 - </w:t>
        <w:tab/>
        <w:t>Roboty w zakresie pokryć i konstrukcji dachowych i inne podobne roboty specjalistyczne,</w:t>
      </w:r>
    </w:p>
    <w:p>
      <w:pPr>
        <w:pStyle w:val="Normal"/>
        <w:spacing w:lineRule="auto" w:line="240" w:before="0" w:after="0"/>
        <w:ind w:hanging="1275" w:left="1701"/>
        <w:rPr>
          <w:rFonts w:ascii="Arial" w:hAnsi="Arial" w:cs="Arial"/>
          <w:sz w:val="22"/>
        </w:rPr>
      </w:pPr>
      <w:r>
        <w:rPr>
          <w:rFonts w:cs="Arial" w:ascii="Arial" w:hAnsi="Arial"/>
          <w:sz w:val="22"/>
        </w:rPr>
        <w:t xml:space="preserve">45430000-0 - </w:t>
        <w:tab/>
        <w:t>Pokrywanie podłóg i ścian,</w:t>
      </w:r>
    </w:p>
    <w:p>
      <w:pPr>
        <w:pStyle w:val="Normal"/>
        <w:spacing w:lineRule="auto" w:line="240" w:before="0" w:after="0"/>
        <w:ind w:hanging="1275" w:left="1701"/>
        <w:rPr>
          <w:rFonts w:ascii="Arial" w:hAnsi="Arial" w:cs="Arial"/>
          <w:sz w:val="22"/>
        </w:rPr>
      </w:pPr>
      <w:r>
        <w:rPr>
          <w:rFonts w:cs="Arial" w:ascii="Arial" w:hAnsi="Arial"/>
          <w:sz w:val="22"/>
        </w:rPr>
        <w:t xml:space="preserve">45431000-7 - </w:t>
        <w:tab/>
        <w:t>Kładzenie płytek,</w:t>
      </w:r>
    </w:p>
    <w:p>
      <w:pPr>
        <w:pStyle w:val="Normal"/>
        <w:spacing w:lineRule="auto" w:line="240" w:before="0" w:after="0"/>
        <w:ind w:hanging="1275" w:left="1701"/>
        <w:rPr>
          <w:rFonts w:ascii="Arial" w:hAnsi="Arial" w:cs="Arial"/>
          <w:sz w:val="22"/>
        </w:rPr>
      </w:pPr>
      <w:r>
        <w:rPr>
          <w:rFonts w:cs="Arial" w:ascii="Arial" w:hAnsi="Arial"/>
          <w:sz w:val="22"/>
        </w:rPr>
        <w:t xml:space="preserve">45262000-1 - </w:t>
        <w:tab/>
        <w:t>Specjalne roboty budowlane inne niż dachowe,</w:t>
      </w:r>
    </w:p>
    <w:p>
      <w:pPr>
        <w:pStyle w:val="Normal"/>
        <w:spacing w:lineRule="auto" w:line="240" w:before="0" w:after="0"/>
        <w:ind w:hanging="1275" w:left="1701"/>
        <w:rPr>
          <w:rFonts w:ascii="Arial" w:hAnsi="Arial" w:cs="Arial"/>
          <w:sz w:val="22"/>
        </w:rPr>
      </w:pPr>
      <w:r>
        <w:rPr>
          <w:rFonts w:cs="Arial" w:ascii="Arial" w:hAnsi="Arial"/>
          <w:sz w:val="22"/>
        </w:rPr>
        <w:t xml:space="preserve">45421100-5 - </w:t>
        <w:tab/>
        <w:t>Instalowanie drzwi i okien i podobnych elementów,</w:t>
      </w:r>
    </w:p>
    <w:p>
      <w:pPr>
        <w:pStyle w:val="Normal"/>
        <w:spacing w:lineRule="auto" w:line="240" w:before="0" w:after="0"/>
        <w:ind w:hanging="1275" w:left="1701"/>
        <w:rPr>
          <w:rFonts w:ascii="Arial" w:hAnsi="Arial" w:cs="Arial"/>
          <w:sz w:val="22"/>
        </w:rPr>
      </w:pPr>
      <w:r>
        <w:rPr>
          <w:rFonts w:cs="Arial" w:ascii="Arial" w:hAnsi="Arial"/>
          <w:sz w:val="22"/>
        </w:rPr>
        <w:t xml:space="preserve">45442100-8 - </w:t>
        <w:tab/>
        <w:t>Roboty malarskie,</w:t>
      </w:r>
    </w:p>
    <w:p>
      <w:pPr>
        <w:pStyle w:val="Normal"/>
        <w:spacing w:lineRule="auto" w:line="240" w:before="0" w:after="0"/>
        <w:ind w:hanging="0" w:left="426"/>
        <w:rPr>
          <w:rFonts w:ascii="Arial" w:hAnsi="Arial" w:cs="Arial"/>
          <w:sz w:val="22"/>
        </w:rPr>
      </w:pPr>
      <w:r>
        <w:rPr>
          <w:rFonts w:cs="Arial" w:ascii="Arial" w:hAnsi="Arial"/>
          <w:sz w:val="22"/>
        </w:rPr>
        <w:t xml:space="preserve">45311100-1 - </w:t>
        <w:tab/>
        <w:t>Roboty w zakresie okablowania elektrycznego,</w:t>
      </w:r>
    </w:p>
    <w:p>
      <w:pPr>
        <w:pStyle w:val="Normal"/>
        <w:spacing w:lineRule="auto" w:line="240" w:before="0" w:after="0"/>
        <w:ind w:hanging="0" w:left="426"/>
        <w:rPr>
          <w:rFonts w:ascii="Arial" w:hAnsi="Arial" w:cs="Arial"/>
          <w:sz w:val="22"/>
        </w:rPr>
      </w:pPr>
      <w:r>
        <w:rPr>
          <w:rFonts w:cs="Arial" w:ascii="Arial" w:hAnsi="Arial"/>
          <w:sz w:val="22"/>
        </w:rPr>
        <w:t xml:space="preserve">45315700-5 - </w:t>
        <w:tab/>
        <w:t>Instalowanie stacji rozdzielczych,</w:t>
      </w:r>
    </w:p>
    <w:p>
      <w:pPr>
        <w:pStyle w:val="Normal"/>
        <w:spacing w:lineRule="auto" w:line="240" w:before="0" w:after="0"/>
        <w:ind w:hanging="0" w:left="426"/>
        <w:rPr>
          <w:rFonts w:ascii="Arial" w:hAnsi="Arial" w:cs="Arial"/>
          <w:sz w:val="22"/>
        </w:rPr>
      </w:pPr>
      <w:r>
        <w:rPr>
          <w:rFonts w:cs="Arial" w:ascii="Arial" w:hAnsi="Arial"/>
          <w:sz w:val="22"/>
        </w:rPr>
        <w:t xml:space="preserve">45111200-0 - </w:t>
        <w:tab/>
        <w:t>Roboty w zakresie przygotowania terenu pod budowę i roboty ziemne,</w:t>
      </w:r>
    </w:p>
    <w:p>
      <w:pPr>
        <w:pStyle w:val="Normal"/>
        <w:spacing w:lineRule="auto" w:line="240" w:before="0" w:after="0"/>
        <w:ind w:hanging="1701" w:left="2127"/>
        <w:rPr>
          <w:rFonts w:ascii="Arial" w:hAnsi="Arial" w:cs="Arial"/>
          <w:sz w:val="22"/>
        </w:rPr>
      </w:pPr>
      <w:r>
        <w:rPr>
          <w:rFonts w:cs="Arial" w:ascii="Arial" w:hAnsi="Arial"/>
          <w:sz w:val="22"/>
        </w:rPr>
        <w:t xml:space="preserve">45231300-8 - </w:t>
        <w:tab/>
        <w:t>Roboty budowlane w zakresie budowy wodociągów i rurociągów do odprowadzania ścieków,</w:t>
      </w:r>
    </w:p>
    <w:p>
      <w:pPr>
        <w:pStyle w:val="Normal"/>
        <w:spacing w:lineRule="auto" w:line="240" w:before="0" w:after="0"/>
        <w:ind w:hanging="1701" w:left="2127"/>
        <w:rPr>
          <w:rFonts w:ascii="Arial" w:hAnsi="Arial" w:cs="Arial"/>
          <w:sz w:val="22"/>
        </w:rPr>
      </w:pPr>
      <w:r>
        <w:rPr>
          <w:rFonts w:cs="Arial" w:ascii="Arial" w:hAnsi="Arial"/>
          <w:sz w:val="22"/>
        </w:rPr>
        <w:t xml:space="preserve">45100000-8 - </w:t>
        <w:tab/>
        <w:t>Przygotowanie terenu pod budowę,</w:t>
      </w:r>
    </w:p>
    <w:p>
      <w:pPr>
        <w:pStyle w:val="Normal"/>
        <w:spacing w:lineRule="auto" w:line="240" w:before="0" w:after="0"/>
        <w:ind w:hanging="0" w:left="426"/>
        <w:rPr>
          <w:rFonts w:ascii="Arial" w:hAnsi="Arial" w:cs="Arial"/>
          <w:sz w:val="22"/>
        </w:rPr>
      </w:pPr>
      <w:r>
        <w:rPr>
          <w:rFonts w:cs="Arial" w:ascii="Arial" w:hAnsi="Arial"/>
          <w:sz w:val="22"/>
        </w:rPr>
        <w:t xml:space="preserve">45321000-3 - </w:t>
        <w:tab/>
        <w:t>Izolacja cieplna,</w:t>
      </w:r>
    </w:p>
    <w:p>
      <w:pPr>
        <w:pStyle w:val="Normal"/>
        <w:spacing w:lineRule="auto" w:line="240" w:before="0" w:after="0"/>
        <w:ind w:hanging="0" w:left="426"/>
        <w:rPr>
          <w:rFonts w:ascii="Arial" w:hAnsi="Arial" w:cs="Arial"/>
          <w:sz w:val="22"/>
        </w:rPr>
      </w:pPr>
      <w:r>
        <w:rPr>
          <w:rFonts w:cs="Arial" w:ascii="Arial" w:hAnsi="Arial"/>
          <w:sz w:val="22"/>
        </w:rPr>
        <w:t xml:space="preserve">45331100-7 - </w:t>
        <w:tab/>
        <w:t>Instalowanie centralnego ogrzewania,</w:t>
      </w:r>
    </w:p>
    <w:p>
      <w:pPr>
        <w:pStyle w:val="Normal"/>
        <w:spacing w:lineRule="auto" w:line="240" w:before="0" w:after="0"/>
        <w:ind w:hanging="0" w:left="426"/>
        <w:rPr>
          <w:rFonts w:ascii="Arial" w:hAnsi="Arial" w:cs="Arial"/>
          <w:sz w:val="22"/>
        </w:rPr>
      </w:pPr>
      <w:r>
        <w:rPr>
          <w:rFonts w:cs="Arial" w:ascii="Arial" w:hAnsi="Arial"/>
          <w:sz w:val="22"/>
        </w:rPr>
        <w:t xml:space="preserve">45332200-5 - </w:t>
        <w:tab/>
        <w:t>Roboty instalacyjne hydrauliczne,</w:t>
      </w:r>
    </w:p>
    <w:p>
      <w:pPr>
        <w:pStyle w:val="Normal"/>
        <w:spacing w:lineRule="auto" w:line="240" w:before="0" w:after="0"/>
        <w:ind w:hanging="0" w:left="426"/>
        <w:rPr>
          <w:rFonts w:ascii="Arial" w:hAnsi="Arial" w:cs="Arial"/>
          <w:sz w:val="22"/>
        </w:rPr>
      </w:pPr>
      <w:r>
        <w:rPr>
          <w:rFonts w:cs="Arial" w:ascii="Arial" w:hAnsi="Arial"/>
          <w:sz w:val="22"/>
        </w:rPr>
        <w:t xml:space="preserve">45332300-6 - </w:t>
        <w:tab/>
        <w:t>Roboty instalacyjne kanalizacyjne,</w:t>
      </w:r>
    </w:p>
    <w:p>
      <w:pPr>
        <w:pStyle w:val="Normal"/>
        <w:spacing w:lineRule="auto" w:line="240" w:before="0" w:after="0"/>
        <w:ind w:hanging="0" w:left="426"/>
        <w:rPr>
          <w:rFonts w:ascii="Arial" w:hAnsi="Arial" w:cs="Arial"/>
          <w:sz w:val="22"/>
        </w:rPr>
      </w:pPr>
      <w:r>
        <w:rPr>
          <w:rFonts w:cs="Arial" w:ascii="Arial" w:hAnsi="Arial"/>
          <w:sz w:val="22"/>
        </w:rPr>
        <w:t xml:space="preserve">45312310-3 - </w:t>
        <w:tab/>
        <w:t>Ochrona odgromowa,</w:t>
      </w:r>
    </w:p>
    <w:p>
      <w:pPr>
        <w:pStyle w:val="Normal"/>
        <w:spacing w:lineRule="auto" w:line="240" w:before="0" w:after="0"/>
        <w:ind w:hanging="0" w:left="426"/>
        <w:rPr>
          <w:rFonts w:ascii="Arial" w:hAnsi="Arial" w:cs="Arial"/>
          <w:sz w:val="22"/>
        </w:rPr>
      </w:pPr>
      <w:r>
        <w:rPr>
          <w:rFonts w:cs="Arial" w:ascii="Arial" w:hAnsi="Arial"/>
          <w:sz w:val="22"/>
        </w:rPr>
        <w:t xml:space="preserve">45331210-1 - </w:t>
        <w:tab/>
        <w:t>Instalowanie wentylacji,</w:t>
      </w:r>
    </w:p>
    <w:p>
      <w:pPr>
        <w:pStyle w:val="Normal"/>
        <w:spacing w:lineRule="auto" w:line="240" w:before="0" w:after="0"/>
        <w:ind w:hanging="0" w:left="426"/>
        <w:rPr>
          <w:rFonts w:ascii="Arial" w:hAnsi="Arial" w:cs="Arial"/>
          <w:sz w:val="22"/>
        </w:rPr>
      </w:pPr>
      <w:r>
        <w:rPr>
          <w:rFonts w:cs="Arial" w:ascii="Arial" w:hAnsi="Arial"/>
          <w:sz w:val="22"/>
        </w:rPr>
        <w:t xml:space="preserve">45422000-1 - </w:t>
        <w:tab/>
        <w:t>Roboty ciesielskie,</w:t>
      </w:r>
    </w:p>
    <w:p>
      <w:pPr>
        <w:pStyle w:val="Normal"/>
        <w:spacing w:lineRule="auto" w:line="240" w:before="0" w:after="0"/>
        <w:ind w:hanging="0" w:left="426"/>
        <w:rPr>
          <w:rFonts w:ascii="Arial" w:hAnsi="Arial" w:cs="Arial"/>
          <w:sz w:val="22"/>
        </w:rPr>
      </w:pPr>
      <w:r>
        <w:rPr>
          <w:rFonts w:cs="Arial" w:ascii="Arial" w:hAnsi="Arial"/>
          <w:sz w:val="22"/>
        </w:rPr>
        <w:t xml:space="preserve">45262300-4 - </w:t>
        <w:tab/>
        <w:t>Betonowanie,</w:t>
      </w:r>
    </w:p>
    <w:p>
      <w:pPr>
        <w:pStyle w:val="Normal"/>
        <w:spacing w:lineRule="auto" w:line="240" w:before="0" w:after="0"/>
        <w:ind w:hanging="0" w:left="426"/>
        <w:rPr>
          <w:rFonts w:ascii="Arial" w:hAnsi="Arial" w:cs="Arial"/>
          <w:sz w:val="22"/>
        </w:rPr>
      </w:pPr>
      <w:r>
        <w:rPr>
          <w:rFonts w:cs="Arial" w:ascii="Arial" w:hAnsi="Arial"/>
          <w:sz w:val="22"/>
        </w:rPr>
        <w:t xml:space="preserve">45262311-4 - </w:t>
        <w:tab/>
        <w:t>Betonowanie konstrukcji,</w:t>
      </w:r>
    </w:p>
    <w:p>
      <w:pPr>
        <w:pStyle w:val="Normal"/>
        <w:spacing w:lineRule="auto" w:line="240" w:before="0" w:after="0"/>
        <w:ind w:hanging="0" w:left="426"/>
        <w:rPr>
          <w:rFonts w:ascii="Arial" w:hAnsi="Arial" w:cs="Arial"/>
          <w:sz w:val="22"/>
        </w:rPr>
      </w:pPr>
      <w:r>
        <w:rPr>
          <w:rFonts w:cs="Arial" w:ascii="Arial" w:hAnsi="Arial"/>
          <w:sz w:val="22"/>
        </w:rPr>
        <w:t xml:space="preserve">45262310-7 - </w:t>
        <w:tab/>
        <w:t>Zbrojenie.</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sz w:val="22"/>
        </w:rPr>
      </w:pPr>
      <w:r>
        <w:rPr>
          <w:rFonts w:cs="Arial" w:ascii="Arial" w:hAnsi="Arial"/>
          <w:sz w:val="22"/>
        </w:rPr>
        <w:t xml:space="preserve">Opis przedmiotu zamówienia </w:t>
      </w:r>
      <w:r>
        <w:rPr>
          <w:rFonts w:cs="Arial" w:ascii="Arial" w:hAnsi="Arial"/>
          <w:color w:val="auto"/>
          <w:sz w:val="22"/>
        </w:rPr>
        <w:t xml:space="preserve">zawiera </w:t>
      </w:r>
      <w:r>
        <w:rPr>
          <w:rFonts w:cs="Arial" w:ascii="Arial" w:hAnsi="Arial"/>
          <w:b/>
          <w:color w:val="auto"/>
          <w:sz w:val="22"/>
        </w:rPr>
        <w:t>załącznik nr 1 do SWZ</w:t>
      </w:r>
      <w:r>
        <w:rPr>
          <w:rFonts w:cs="Arial" w:ascii="Arial" w:hAnsi="Arial"/>
          <w:color w:val="auto"/>
          <w:sz w:val="22"/>
        </w:rPr>
        <w:t xml:space="preserve"> tj.</w:t>
      </w:r>
    </w:p>
    <w:p>
      <w:pPr>
        <w:pStyle w:val="Normal"/>
        <w:spacing w:lineRule="auto" w:line="240" w:before="0" w:after="0"/>
        <w:ind w:hanging="0" w:left="426"/>
        <w:rPr>
          <w:rFonts w:ascii="Arial" w:hAnsi="Arial" w:cs="Arial"/>
          <w:sz w:val="22"/>
        </w:rPr>
      </w:pPr>
      <w:r>
        <w:rPr>
          <w:rFonts w:cs="Arial" w:ascii="Arial" w:hAnsi="Arial"/>
          <w:sz w:val="22"/>
        </w:rPr>
        <w:t></w:t>
      </w:r>
      <w:r>
        <w:rPr>
          <w:rFonts w:cs="Arial" w:ascii="Arial" w:hAnsi="Arial"/>
          <w:sz w:val="22"/>
        </w:rPr>
        <w:tab/>
        <w:t>opis przedmiotu zamówienia,</w:t>
      </w:r>
    </w:p>
    <w:p>
      <w:pPr>
        <w:pStyle w:val="Normal"/>
        <w:spacing w:lineRule="auto" w:line="240" w:before="0" w:after="0"/>
        <w:ind w:hanging="0" w:left="426"/>
        <w:rPr>
          <w:rFonts w:ascii="Arial" w:hAnsi="Arial" w:cs="Arial"/>
          <w:sz w:val="22"/>
        </w:rPr>
      </w:pPr>
      <w:r>
        <w:rPr>
          <w:rFonts w:cs="Arial" w:ascii="Arial" w:hAnsi="Arial"/>
          <w:sz w:val="22"/>
        </w:rPr>
        <w:t></w:t>
      </w:r>
      <w:r>
        <w:rPr>
          <w:rFonts w:cs="Arial" w:ascii="Arial" w:hAnsi="Arial"/>
          <w:sz w:val="22"/>
        </w:rPr>
        <w:tab/>
        <w:t>przedmiar robót,</w:t>
      </w:r>
    </w:p>
    <w:p>
      <w:pPr>
        <w:pStyle w:val="Normal"/>
        <w:spacing w:lineRule="auto" w:line="240" w:before="0" w:after="0"/>
        <w:ind w:hanging="0" w:left="426"/>
        <w:rPr>
          <w:rFonts w:ascii="Arial" w:hAnsi="Arial" w:cs="Arial"/>
          <w:color w:val="auto"/>
          <w:sz w:val="22"/>
        </w:rPr>
      </w:pPr>
      <w:r>
        <w:rPr>
          <w:rFonts w:cs="Arial" w:ascii="Arial" w:hAnsi="Arial"/>
          <w:sz w:val="22"/>
        </w:rPr>
        <w:t></w:t>
      </w:r>
      <w:r>
        <w:rPr>
          <w:rFonts w:cs="Arial" w:ascii="Arial" w:hAnsi="Arial"/>
          <w:sz w:val="22"/>
        </w:rPr>
        <w:tab/>
      </w:r>
      <w:r>
        <w:rPr>
          <w:rFonts w:cs="Arial" w:ascii="Arial" w:hAnsi="Arial"/>
          <w:color w:val="auto"/>
          <w:sz w:val="22"/>
        </w:rPr>
        <w:t>specyfikacje techniczne wykonania i odbioru robót budowlanych,</w:t>
      </w:r>
    </w:p>
    <w:p>
      <w:pPr>
        <w:pStyle w:val="Normal"/>
        <w:spacing w:lineRule="auto" w:line="240" w:before="0" w:after="0"/>
        <w:ind w:hanging="0" w:left="426"/>
        <w:rPr>
          <w:rFonts w:ascii="Arial" w:hAnsi="Arial" w:cs="Arial"/>
          <w:color w:val="auto"/>
          <w:sz w:val="22"/>
        </w:rPr>
      </w:pPr>
      <w:r>
        <w:rPr>
          <w:rFonts w:cs="Arial" w:ascii="Arial" w:hAnsi="Arial"/>
          <w:color w:val="auto"/>
          <w:sz w:val="22"/>
        </w:rPr>
        <w:t></w:t>
      </w:r>
      <w:r>
        <w:rPr>
          <w:rFonts w:cs="Arial" w:ascii="Arial" w:hAnsi="Arial"/>
          <w:color w:val="auto"/>
          <w:sz w:val="22"/>
        </w:rPr>
        <w:tab/>
        <w:t>dokumentacja projektowa,</w:t>
      </w:r>
    </w:p>
    <w:p>
      <w:pPr>
        <w:pStyle w:val="Normal"/>
        <w:spacing w:lineRule="auto" w:line="240" w:before="0" w:after="0"/>
        <w:ind w:hanging="0" w:left="426"/>
        <w:rPr>
          <w:rFonts w:ascii="Arial" w:hAnsi="Arial" w:cs="Arial"/>
          <w:color w:val="auto"/>
          <w:sz w:val="22"/>
        </w:rPr>
      </w:pPr>
      <w:r>
        <w:rPr>
          <w:rFonts w:cs="Arial" w:ascii="Arial" w:hAnsi="Arial"/>
          <w:color w:val="auto"/>
          <w:sz w:val="22"/>
        </w:rPr>
        <w:t>W powyższej dokumentacji Zamawiający dołączył projektowaną charakterystykę energetyczną obiektu.</w:t>
      </w:r>
    </w:p>
    <w:p>
      <w:pPr>
        <w:pStyle w:val="Normal"/>
        <w:spacing w:lineRule="auto" w:line="240" w:before="0" w:after="0"/>
        <w:ind w:hanging="0" w:left="426"/>
        <w:rPr>
          <w:rFonts w:ascii="Arial" w:hAnsi="Arial" w:cs="Arial"/>
          <w:color w:val="auto"/>
          <w:sz w:val="22"/>
        </w:rPr>
      </w:pPr>
      <w:r>
        <w:rPr>
          <w:rFonts w:cs="Arial" w:ascii="Arial" w:hAnsi="Arial"/>
          <w:color w:val="auto"/>
          <w:sz w:val="22"/>
        </w:rPr>
        <w:t>Wykonany obiekt będący przedmiotem zamówienia na koniec inwestycji będzie musiał uzyskać świadectwo energetyczne efektywności energetycznej EP [kWh/m</w:t>
      </w:r>
      <w:r>
        <w:rPr>
          <w:rFonts w:cs="Arial" w:ascii="Arial" w:hAnsi="Arial"/>
          <w:color w:val="auto"/>
          <w:sz w:val="22"/>
          <w:vertAlign w:val="superscript"/>
        </w:rPr>
        <w:t>2</w:t>
      </w:r>
      <w:r>
        <w:rPr>
          <w:rFonts w:cs="Arial" w:ascii="Arial" w:hAnsi="Arial"/>
          <w:color w:val="auto"/>
          <w:sz w:val="22"/>
        </w:rPr>
        <w:t xml:space="preserve"> x rok] ≤ 52 (mniejszy lub równy).</w:t>
      </w:r>
    </w:p>
    <w:p>
      <w:pPr>
        <w:pStyle w:val="Normal"/>
        <w:spacing w:lineRule="auto" w:line="240" w:before="0" w:after="0"/>
        <w:ind w:hanging="0" w:left="426"/>
        <w:rPr>
          <w:rFonts w:ascii="Arial" w:hAnsi="Arial" w:cs="Arial"/>
          <w:sz w:val="22"/>
        </w:rPr>
      </w:pPr>
      <w:r>
        <w:rPr>
          <w:rFonts w:cs="Arial" w:ascii="Arial" w:hAnsi="Arial"/>
          <w:sz w:val="22"/>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sz w:val="22"/>
        </w:rPr>
      </w:pPr>
      <w:r>
        <w:rPr>
          <w:rFonts w:cs="Arial" w:ascii="Arial" w:hAnsi="Arial"/>
          <w:sz w:val="22"/>
        </w:rPr>
        <w:t>Zgodnie z art. 101 ust. 4 ustawy Pzp w sytuacji, gdyby w dokumentacji projektowej lub STWiORB, a więc w dokumentach opisujących przedmiot zamówienia, zawarto odniesienie do norm, ocen technicznych,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specyfikacji technicznej, systemowi referencji technicznych. W związku z powyższym należy przyjąć, że każdej: normie, ocenie technicznej, specyfikacji technicznej, systemowi referencji technicznych występujących w opisie przedmiotu zamówienia towarzyszą wyrazy „lub równoważne”. Zgodnie z art. 101 ust. 5 Pzp wykonawca, który powołuje się na rozwiązania równoważne opisywanym w tych dokumentach, jest obowiązany udowodnić w ofercie, w szczególności za pomocą przedmiotowych środków dowodowych, o których mowa w art. 104–107 ustawy Pzp, że proponowane rozwiązania w równoważnym stopniu spełniają wymagania określone w opisie przedmiotu zamówienia.</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sz w:val="22"/>
        </w:rPr>
      </w:pPr>
      <w:r>
        <w:rPr>
          <w:rFonts w:cs="Arial" w:ascii="Arial" w:hAnsi="Arial"/>
          <w:sz w:val="22"/>
        </w:rPr>
        <w:t>W sytuacji, gdyby w dokumentacji projektowej lub STWiORB, a więc w dokumentach opisujących przedmiot zamówienia, zawarto wskazanie znaków towarowych, patentów lub pochodzenia, źródła lub szczególnego procesu, który charakteryzuje produkty lub usługi dostarczane przez konkretnego wykonawcę, a wskazaniu takiemu nie towarzyszyły wyrazy „lub równoważny”, to Zamawiający dopuszcza rozwiązania równoważne opisywanym spełniające wymogi zawarte w dokumentacji i opisie przedmiotu zamówienia co najmniej pod względem technicznym, jakościowym, funkcjonalnym - zaoferowany równoważny przedmiot zamówienia winien być o takich samych lub lepszych parametrach technicznych, jakościowych, funkcjonalnych, spełniających minimalne parametry określone przez Zamawiającego w dokumentacji i opisie przedmiotu zamówienia.</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b/>
          <w:color w:val="auto"/>
          <w:sz w:val="22"/>
        </w:rPr>
      </w:pPr>
      <w:r>
        <w:rPr>
          <w:rFonts w:cs="Arial" w:ascii="Arial" w:hAnsi="Arial"/>
          <w:b/>
          <w:color w:val="auto"/>
          <w:sz w:val="22"/>
        </w:rPr>
        <w:t>Przedmiotowe środki dowodowe:</w:t>
      </w:r>
    </w:p>
    <w:p>
      <w:pPr>
        <w:pStyle w:val="Normal"/>
        <w:spacing w:lineRule="auto" w:line="240" w:before="0" w:after="0"/>
        <w:ind w:hanging="0" w:left="426"/>
        <w:rPr>
          <w:rFonts w:ascii="Arial" w:hAnsi="Arial" w:cs="Arial"/>
          <w:color w:val="auto"/>
          <w:sz w:val="22"/>
        </w:rPr>
      </w:pPr>
      <w:r>
        <w:rPr>
          <w:rFonts w:cs="Arial" w:ascii="Arial" w:hAnsi="Arial"/>
          <w:color w:val="auto"/>
          <w:sz w:val="22"/>
        </w:rPr>
        <w:t>W przypadku zastosowania produktów (materiałów, urządzeń, wyrobów), usług, norm, ocen technicznych, specyfikacji technicznych i systemów referencji technicznych lub rozwiązań równoważnych, w rozumieniu art. 99 ust. 5 lub art. 101 ust. 4 ustawy Pzp, Wykonawca zobowiązany jest do ich wskazania w ofercie oraz do złożenia wraz z ofertą dokumentów takich jak świadectwa, aprobaty, certyfikaty, atesty, karty katalogowe / techniczne lub inne równoważne dokumenty dopuszczające do stosowania w budownictwie na terenie Unii Europejskiej oraz potwierdzających, że oferowane rozwiązanie równoważne spełniają wymagania Zamawiającego opisane w dokumentacji i opisie przedmiotu zamówienia.</w:t>
      </w:r>
    </w:p>
    <w:p>
      <w:pPr>
        <w:pStyle w:val="Normal"/>
        <w:spacing w:lineRule="auto" w:line="240" w:before="0" w:after="0"/>
        <w:ind w:hanging="0" w:left="426"/>
        <w:rPr>
          <w:rFonts w:ascii="Arial" w:hAnsi="Arial" w:cs="Arial"/>
          <w:color w:val="auto"/>
          <w:sz w:val="22"/>
        </w:rPr>
      </w:pPr>
      <w:r>
        <w:rPr>
          <w:rFonts w:cs="Arial" w:ascii="Arial" w:hAnsi="Arial"/>
          <w:color w:val="auto"/>
          <w:sz w:val="22"/>
        </w:rPr>
      </w:r>
    </w:p>
    <w:p>
      <w:pPr>
        <w:pStyle w:val="Normal"/>
        <w:spacing w:lineRule="auto" w:line="240" w:before="0" w:after="0"/>
        <w:ind w:hanging="0" w:left="426"/>
        <w:rPr>
          <w:rFonts w:ascii="Arial" w:hAnsi="Arial" w:cs="Arial"/>
          <w:color w:val="auto"/>
          <w:sz w:val="22"/>
        </w:rPr>
      </w:pPr>
      <w:r>
        <w:rPr>
          <w:rFonts w:cs="Arial" w:ascii="Arial" w:hAnsi="Arial"/>
          <w:color w:val="auto"/>
          <w:sz w:val="22"/>
        </w:rPr>
        <w:t>Całe rozwiązanie w zakresie dostawy i montażu elementów prefabrykowanych keramzytobetonowych dla obiektu ma pochodzić od producenta, wytwórcy, który posiada ważne certyfikaty i deklaracje i ma być objęta jednolitą i spójną gwarancją udzieloną przez producenta, wytwórcę elementów prefabrykowanych. W związku z powyższym wraz z ofertą wykonawca musi przedstawić:</w:t>
      </w:r>
    </w:p>
    <w:p>
      <w:pPr>
        <w:pStyle w:val="Normal"/>
        <w:spacing w:lineRule="auto" w:line="240" w:before="0" w:after="0"/>
        <w:ind w:hanging="0" w:left="426"/>
        <w:rPr>
          <w:rFonts w:ascii="Arial" w:hAnsi="Arial" w:cs="Arial"/>
          <w:color w:val="auto"/>
          <w:sz w:val="22"/>
        </w:rPr>
      </w:pPr>
      <w:r>
        <w:rPr>
          <w:rFonts w:cs="Arial" w:ascii="Arial" w:hAnsi="Arial"/>
          <w:color w:val="auto"/>
          <w:sz w:val="22"/>
        </w:rPr>
        <w:t>1. Ważny certyfikat zgodności zakładowej kontroli produkcji oraz aktualną deklarację właściwości użytkowych na prefabrykowane elementy betonowe - elementy ścian wydany przez jednostkę posiadającą stosowne uprawnienia zgodne z obowiązującymi przepisami.</w:t>
      </w:r>
    </w:p>
    <w:p>
      <w:pPr>
        <w:pStyle w:val="Normal"/>
        <w:spacing w:lineRule="auto" w:line="240" w:before="0" w:after="0"/>
        <w:ind w:hanging="0" w:left="426"/>
        <w:rPr>
          <w:rFonts w:ascii="Arial" w:hAnsi="Arial" w:cs="Arial"/>
          <w:color w:val="auto"/>
          <w:sz w:val="22"/>
        </w:rPr>
      </w:pPr>
      <w:r>
        <w:rPr>
          <w:rFonts w:cs="Arial" w:ascii="Arial" w:hAnsi="Arial"/>
          <w:color w:val="auto"/>
          <w:sz w:val="22"/>
        </w:rPr>
        <w:t>2. Ważny certyfikat zgodności zakładowej kontroli produkcji oraz aktualną deklarację właściwości użytkowych na prefabrykowane elementy betonowe – prętowe elementy konstrukcyjne wydany przez jednostkę posiadającą stosowne uprawnienia zgodne z obowiązującymi przepisami.</w:t>
      </w:r>
    </w:p>
    <w:p>
      <w:pPr>
        <w:pStyle w:val="Normal"/>
        <w:spacing w:lineRule="auto" w:line="240" w:before="0" w:after="0"/>
        <w:ind w:hanging="0" w:left="426"/>
        <w:rPr>
          <w:rFonts w:ascii="Arial" w:hAnsi="Arial" w:cs="Arial"/>
          <w:color w:val="auto"/>
          <w:sz w:val="22"/>
        </w:rPr>
      </w:pPr>
      <w:r>
        <w:rPr>
          <w:rFonts w:cs="Arial" w:ascii="Arial" w:hAnsi="Arial"/>
          <w:color w:val="auto"/>
          <w:sz w:val="22"/>
        </w:rPr>
        <w:t>3. Ważny certyfikat zgodności zakładowej kontroli produkcji oraz aktualną deklarację właściwości użytkowych na prefabrykowane elementy betonowe – schody wydany przez jednostkę posiadającą stosowne uprawnienia zgodne z obowiązującymi przepisami.</w:t>
      </w:r>
    </w:p>
    <w:p>
      <w:pPr>
        <w:pStyle w:val="Normal"/>
        <w:spacing w:lineRule="auto" w:line="240" w:before="0" w:after="0"/>
        <w:ind w:hanging="0" w:left="426"/>
        <w:rPr>
          <w:rFonts w:ascii="Arial" w:hAnsi="Arial" w:cs="Arial"/>
          <w:color w:val="auto"/>
          <w:sz w:val="22"/>
        </w:rPr>
      </w:pPr>
      <w:r>
        <w:rPr>
          <w:rFonts w:cs="Arial" w:ascii="Arial" w:hAnsi="Arial"/>
          <w:color w:val="auto"/>
          <w:sz w:val="22"/>
        </w:rPr>
        <w:t>4. Ważny certyfikat zgodności zakładowej kontroli produkcji oraz aktualną deklarację właściwości użytkowych na prefabrykowane elementy betonowe – płyty stropowe do zespolonych systemów stropowych wydany przez jednostkę posiadającą stosowne uprawnienia zgodne z obowiązującymi przepisami.</w:t>
      </w:r>
    </w:p>
    <w:p>
      <w:pPr>
        <w:pStyle w:val="Normal"/>
        <w:spacing w:lineRule="auto" w:line="240" w:before="0" w:after="0"/>
        <w:ind w:hanging="0" w:left="426"/>
        <w:rPr>
          <w:rFonts w:ascii="Arial" w:hAnsi="Arial" w:cs="Arial"/>
          <w:color w:val="auto"/>
          <w:sz w:val="22"/>
        </w:rPr>
      </w:pPr>
      <w:r>
        <w:rPr>
          <w:rFonts w:cs="Arial" w:ascii="Arial" w:hAnsi="Arial"/>
          <w:color w:val="auto"/>
          <w:sz w:val="22"/>
        </w:rPr>
      </w:r>
    </w:p>
    <w:p>
      <w:pPr>
        <w:pStyle w:val="Normal"/>
        <w:spacing w:lineRule="auto" w:line="240" w:before="0" w:after="0"/>
        <w:ind w:hanging="0" w:left="426"/>
        <w:rPr>
          <w:rFonts w:ascii="Arial" w:hAnsi="Arial" w:cs="Arial"/>
          <w:color w:val="auto"/>
          <w:sz w:val="22"/>
        </w:rPr>
      </w:pPr>
      <w:r>
        <w:rPr>
          <w:rFonts w:cs="Arial" w:ascii="Arial" w:hAnsi="Arial"/>
          <w:color w:val="auto"/>
          <w:sz w:val="22"/>
        </w:rPr>
        <w:t>Jeżeli Wykonawca nie złoży przedmiotowych środków dowodowych lub złożone przedmiotowe środki dowodowe będą niekompletne (w szczególności nie potwierdzając w ten sposób równoważności oferty w zakresie opisanym w opisie przedmiotu zamówienia) Zamawiający wezwie do ich złożenia lub uzupełnienia w wyznaczonym terminie.</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b/>
          <w:sz w:val="22"/>
        </w:rPr>
      </w:pPr>
      <w:r>
        <w:rPr>
          <w:rFonts w:cs="Arial" w:ascii="Arial" w:hAnsi="Arial"/>
          <w:b/>
          <w:sz w:val="22"/>
        </w:rPr>
        <w:t>Zamawiający przewiduje możliwość unieważnienia postępowania o udzielenie zamówienia, jeżeli środki publiczne, które zamawiający zamierzał przeznaczyć na sfinansowanie całości lub części zamówienia, nie zostały mu przyznane.</w:t>
      </w:r>
    </w:p>
    <w:p>
      <w:pPr>
        <w:pStyle w:val="Normal"/>
        <w:spacing w:lineRule="auto" w:line="240" w:before="0" w:after="0"/>
        <w:ind w:hanging="0" w:left="426"/>
        <w:rPr>
          <w:rFonts w:ascii="Arial" w:hAnsi="Arial" w:cs="Arial"/>
          <w:sz w:val="22"/>
        </w:rPr>
      </w:pPr>
      <w:r>
        <w:rPr>
          <w:rFonts w:cs="Arial" w:ascii="Arial" w:hAnsi="Arial"/>
          <w:sz w:val="22"/>
        </w:rPr>
      </w:r>
    </w:p>
    <w:p>
      <w:pPr>
        <w:pStyle w:val="Normal"/>
        <w:spacing w:lineRule="auto" w:line="240" w:before="0" w:after="0"/>
        <w:ind w:hanging="0" w:left="426"/>
        <w:rPr>
          <w:rFonts w:ascii="Arial" w:hAnsi="Arial" w:cs="Arial"/>
          <w:sz w:val="22"/>
        </w:rPr>
      </w:pPr>
      <w:r>
        <w:rPr>
          <w:rFonts w:cs="Arial" w:ascii="Arial" w:hAnsi="Arial"/>
          <w:sz w:val="22"/>
        </w:rPr>
        <w:t>Najpóźniej na 3 dni przed planowanym terminem dostawy materiałów i urządzeń Wykonawca dostarczy Zamawiającemu wszystkie wymagane kopie certyfikatów, kart charakterystyki / kart katalogowych materiałów i urządzeń.</w:t>
      </w:r>
      <w:r>
        <w:rPr/>
        <w:t xml:space="preserve"> </w:t>
      </w:r>
      <w:r>
        <w:rPr>
          <w:rFonts w:cs="Arial" w:ascii="Arial" w:hAnsi="Arial"/>
          <w:sz w:val="22"/>
        </w:rPr>
        <w:t>Wszystkie dostarczone materiały i urządzenia przed ich wbudowaniem będą podlegały akceptacji ze strony Zamawiającego. Dopiero po uzyskaniu akceptacji Zamawiającego Wykonawca może dokonać wbudowania materiałów i urządzeń. W przypadku braku realizacji powyższej procedury Wykonawca na własny koszt zobowiązany będzie do usunięcia wbudowanych materiałów i urządzeń.</w:t>
      </w:r>
    </w:p>
    <w:p>
      <w:pPr>
        <w:pStyle w:val="Normal"/>
        <w:spacing w:lineRule="auto" w:line="240" w:before="0" w:after="0"/>
        <w:ind w:hanging="0" w:left="426"/>
        <w:rPr>
          <w:rFonts w:ascii="Arial" w:hAnsi="Arial" w:cs="Arial"/>
          <w:sz w:val="22"/>
        </w:rPr>
      </w:pPr>
      <w:r>
        <w:rPr>
          <w:rFonts w:cs="Arial" w:ascii="Arial" w:hAnsi="Arial"/>
          <w:sz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Opis części zamówienia, jeżeli zamawiający dopuszcza składanie ofert częściowych:</w:t>
      </w:r>
    </w:p>
    <w:p>
      <w:pPr>
        <w:pStyle w:val="Default"/>
        <w:ind w:left="426"/>
        <w:jc w:val="both"/>
        <w:rPr>
          <w:rFonts w:ascii="Arial" w:hAnsi="Arial" w:cs="Arial"/>
          <w:sz w:val="22"/>
          <w:szCs w:val="22"/>
        </w:rPr>
      </w:pPr>
      <w:r>
        <w:rPr>
          <w:rFonts w:cs="Arial" w:ascii="Arial" w:hAnsi="Arial"/>
          <w:sz w:val="22"/>
          <w:szCs w:val="22"/>
        </w:rPr>
        <w:t>Oferta musi obejmować całość zamówienia, Zamawiający nie dopuszcza możliwości składania ofert częściowych.</w:t>
      </w:r>
    </w:p>
    <w:p>
      <w:pPr>
        <w:pStyle w:val="Default"/>
        <w:ind w:left="426"/>
        <w:jc w:val="both"/>
        <w:rPr>
          <w:rFonts w:ascii="Arial" w:hAnsi="Arial" w:cs="Arial"/>
          <w:sz w:val="22"/>
          <w:szCs w:val="22"/>
        </w:rPr>
      </w:pPr>
      <w:r>
        <w:rPr>
          <w:rFonts w:cs="Arial" w:ascii="Arial" w:hAnsi="Arial"/>
          <w:sz w:val="22"/>
          <w:szCs w:val="22"/>
        </w:rPr>
        <w:t>Oferta częściowa stanowić będzie ofertę o treści niezgodnej z warunkami zamówienia i zostanie odrzucona, zgodnie z art. 226 ust. 1 pkt 5 ustawy Pzp.</w:t>
      </w:r>
    </w:p>
    <w:p>
      <w:pPr>
        <w:pStyle w:val="Default"/>
        <w:ind w:left="426"/>
        <w:jc w:val="both"/>
        <w:rPr>
          <w:rFonts w:ascii="Arial" w:hAnsi="Arial" w:cs="Arial"/>
          <w:sz w:val="22"/>
          <w:szCs w:val="22"/>
        </w:rPr>
      </w:pPr>
      <w:r>
        <w:rPr>
          <w:rFonts w:cs="Arial" w:ascii="Arial" w:hAnsi="Arial"/>
          <w:sz w:val="22"/>
          <w:szCs w:val="22"/>
        </w:rPr>
        <w:t>Powody niedokonania podziału zamówienia na części:</w:t>
      </w:r>
    </w:p>
    <w:p>
      <w:pPr>
        <w:pStyle w:val="Default"/>
        <w:ind w:left="426"/>
        <w:jc w:val="both"/>
        <w:rPr>
          <w:rFonts w:ascii="Arial" w:hAnsi="Arial" w:cs="Arial"/>
          <w:sz w:val="22"/>
          <w:szCs w:val="22"/>
        </w:rPr>
      </w:pPr>
      <w:r>
        <w:rPr>
          <w:rFonts w:cs="Arial" w:ascii="Arial" w:hAnsi="Arial"/>
          <w:sz w:val="22"/>
          <w:szCs w:val="22"/>
        </w:rPr>
        <w:t xml:space="preserve">Zadanie ma charakter jednorodny, tzn. wskazane w dokumentacji projektowej prace budowlane są ze sobą wzajemnie powiązane i służą jednemu wspólnemu celowi którym jest budowa budynku na cele mieszkaniowe. Podział zamówienia na części groziłby nadmiernymi trudnościami technicznymi gdyż taki stan rzeczy mógłby spowodować potrzebę podjęcia dodatkowych czynności przez Zamawiającego celem skoordynowania działań różnych wykonawców np. różne terminy: przekazania, odbiorów, uzyskania pozwolenia na użytkowanie itp. - </w:t>
      </w:r>
      <w:r>
        <w:rPr>
          <w:rFonts w:cs="Arial" w:ascii="Arial" w:hAnsi="Arial"/>
          <w:sz w:val="22"/>
        </w:rPr>
        <w:t xml:space="preserve">potrzeba skoordynowania działań różnych Wykonawców realizujących poszczególne części zamówienia mogłaby mieć negatywny wpływ na jakość produktu końcowego oraz spowodować opóźnienie w realizacji przedmiotu zamówienia oraz zwiększyć koszty ponoszone przez Zamawiającego w zakresie koordynacji. </w:t>
      </w:r>
      <w:r>
        <w:rPr>
          <w:rFonts w:cs="Arial" w:ascii="Arial" w:hAnsi="Arial"/>
          <w:sz w:val="22"/>
          <w:szCs w:val="22"/>
        </w:rPr>
        <w:t>Brak kompleksowej realizacji zamówienia, mógłby zagrozić właściwemu jej wykonaniu. Dodatkowo, brak jednej gwarancji dla całej inwestycji mógłby nie zagwarantować wyegzekwowania odpowiedzialności dla całej inwestycji, gdyż każdy wykonawca dla swojej części udzieliłby odrębnej gwarancji jakości.</w:t>
      </w:r>
    </w:p>
    <w:p>
      <w:pPr>
        <w:pStyle w:val="Default"/>
        <w:ind w:left="426"/>
        <w:jc w:val="both"/>
        <w:rPr>
          <w:rFonts w:ascii="Arial" w:hAnsi="Arial" w:cs="Arial"/>
          <w:sz w:val="22"/>
          <w:szCs w:val="22"/>
        </w:rPr>
      </w:pPr>
      <w:r>
        <w:rPr>
          <w:rFonts w:cs="Arial" w:ascii="Arial" w:hAnsi="Arial"/>
          <w:sz w:val="22"/>
          <w:szCs w:val="22"/>
        </w:rPr>
        <w:t xml:space="preserve">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 </w:t>
      </w:r>
      <w:r>
        <w:rPr>
          <w:rFonts w:cs="Arial" w:ascii="Arial" w:hAnsi="Arial"/>
          <w:sz w:val="22"/>
        </w:rPr>
        <w:t>podzielenie przedmiotu zamówienia nie wpłynie na zwiększenie konkurencji między Wykonawcami</w:t>
      </w:r>
      <w:r>
        <w:rPr>
          <w:rFonts w:cs="Arial" w:ascii="Arial" w:hAnsi="Arial"/>
          <w:sz w:val="22"/>
          <w:szCs w:val="22"/>
        </w:rPr>
        <w:t>.</w:t>
      </w:r>
    </w:p>
    <w:p>
      <w:pPr>
        <w:pStyle w:val="Default"/>
        <w:ind w:left="426"/>
        <w:jc w:val="both"/>
        <w:rPr>
          <w:rFonts w:ascii="Arial" w:hAnsi="Arial" w:cs="Arial"/>
          <w:sz w:val="22"/>
          <w:szCs w:val="22"/>
        </w:rPr>
      </w:pPr>
      <w:r>
        <w:rPr>
          <w:rFonts w:cs="Arial" w:ascii="Arial" w:hAnsi="Arial"/>
          <w:sz w:val="22"/>
          <w:szCs w:val="22"/>
        </w:rPr>
        <w:t>Ponadto, mając na uwadze ograniczoną przestrzeń na prowadzenie robót wynikającą z zatwierdzonej tymczasowej organizacji ruchu, podział zamówienia groziłby nadmiernymi trudnościami technicznymi w jego realizacji.</w:t>
      </w:r>
    </w:p>
    <w:p>
      <w:pPr>
        <w:pStyle w:val="Default"/>
        <w:ind w:left="426"/>
        <w:jc w:val="both"/>
        <w:rPr>
          <w:rFonts w:ascii="Arial" w:hAnsi="Arial" w:cs="Arial"/>
          <w:sz w:val="22"/>
          <w:szCs w:val="22"/>
        </w:rPr>
      </w:pPr>
      <w:r>
        <w:rPr>
          <w:rFonts w:cs="Arial" w:ascii="Arial" w:hAnsi="Arial"/>
          <w:sz w:val="22"/>
          <w:szCs w:val="22"/>
        </w:rPr>
        <w:t>Na rynku funkcjonuje bardzo wielu wykonawców zainteresowanych zbliżonymi do przedmiotowego kontraktami, którzy spełniają warunki udziału w postępowaniu.</w:t>
      </w:r>
    </w:p>
    <w:p>
      <w:pPr>
        <w:pStyle w:val="Default"/>
        <w:ind w:left="426"/>
        <w:jc w:val="both"/>
        <w:rPr>
          <w:rFonts w:ascii="Arial" w:hAnsi="Arial" w:cs="Arial"/>
          <w:sz w:val="22"/>
          <w:szCs w:val="22"/>
        </w:rPr>
      </w:pPr>
      <w:r>
        <w:rPr>
          <w:rFonts w:cs="Arial" w:ascii="Arial" w:hAnsi="Arial"/>
          <w:sz w:val="22"/>
          <w:szCs w:val="22"/>
        </w:rPr>
        <w:t xml:space="preserve">Zgodnie z art. 379 § 2 kodeksu cywilnego: “świadczenie jest podzielne, jeżeli może być spełnione częściowo bez istotnej zmiany przedmiotu lub wartości”. </w:t>
      </w:r>
    </w:p>
    <w:p>
      <w:pPr>
        <w:pStyle w:val="Default"/>
        <w:ind w:left="426"/>
        <w:jc w:val="both"/>
        <w:rPr>
          <w:rFonts w:ascii="Arial" w:hAnsi="Arial" w:cs="Arial"/>
          <w:sz w:val="22"/>
          <w:szCs w:val="22"/>
        </w:rPr>
      </w:pPr>
      <w:r>
        <w:rPr>
          <w:rFonts w:cs="Arial" w:ascii="Arial" w:hAnsi="Arial"/>
          <w:sz w:val="22"/>
          <w:szCs w:val="22"/>
        </w:rPr>
        <w:t>Motyw nr 78 Dyrektywy 2014/24/UE z 26.02.2014 r.: „Zamówienia publiczne powinny być dostosowane do potrzeb MŚP. (…) Przyczynami braku podziału zamówienia na części mogą być: ograniczenie konkurencji lub nadmierne trudności techniczne lub nadmierne koszty wykonania zamówienia, lub też  potrzeba skoordynowania działań różnych wykonawców realizujących poszczególne części zamówienia, które mogłyby poważnie zagrozić właściwemu wykonaniu zamówienia”.</w:t>
      </w:r>
    </w:p>
    <w:p>
      <w:pPr>
        <w:pStyle w:val="Default"/>
        <w:ind w:left="426"/>
        <w:jc w:val="both"/>
        <w:rPr>
          <w:rFonts w:ascii="Arial" w:hAnsi="Arial" w:cs="Arial"/>
          <w:sz w:val="22"/>
          <w:szCs w:val="22"/>
        </w:rPr>
      </w:pPr>
      <w:r>
        <w:rPr>
          <w:rFonts w:cs="Arial" w:ascii="Arial" w:hAnsi="Arial"/>
          <w:sz w:val="22"/>
          <w:szCs w:val="22"/>
        </w:rPr>
        <w:t xml:space="preserve">Art. 25 ust. 2 Pzp: „Zamówienie jest niepodzielne na części, jeżeli ze względów technicznych, organizacyjnych lub ekonomicznych tworzy nierozerwalną całość”. </w:t>
      </w:r>
    </w:p>
    <w:p>
      <w:pPr>
        <w:pStyle w:val="Default"/>
        <w:ind w:left="426"/>
        <w:jc w:val="both"/>
        <w:rPr>
          <w:rFonts w:ascii="Arial" w:hAnsi="Arial" w:cs="Arial"/>
          <w:sz w:val="22"/>
          <w:szCs w:val="22"/>
        </w:rPr>
      </w:pPr>
      <w:r>
        <w:rPr>
          <w:rFonts w:cs="Arial" w:ascii="Arial" w:hAnsi="Arial"/>
          <w:sz w:val="22"/>
          <w:szCs w:val="22"/>
        </w:rPr>
        <w:t>Mając powyższe na uwadze należy uznać, iż świadczenie nie może zostać spełnione częściowo bez istotnej zmiany przedmiotu, a to oznacza, iż należy je traktować jako jedną całość, a ewentualny podział niniejszego zadania byłby wręcz szkodliwy, ponieważ spowodowałby nadmierne trudności techniczne, a przede wszystkim zwiększone koszty wykonania zamówienia - odnosi się to do sytuacji, gdyby roboty budowlane objęte przedmiotowym zamówieniem wykonywane były przez kilku Wykonawców na podstawie odrębnych umów. Dodatkowo spowodowałoby konieczność podjęcia dodatkowych działań ze strony Zamawiającego w celu skoordynowania działań różnych wykonawców. Brak kompleksowej realizacji zamówienia mógłby zagrozić właściwemu jej wykonaniu, a Zamawiający miałby trudności z egzekwowaniem przysługujących mu uprawnień z tytułu rękojmi/gwarancji – za wady m.in. z uwagi na możliwość zadeklarowania różnych okresów (rękojmi/gwarancji) oraz możliwość przeniesienia odpowiedzialności na innego wykonawcę.</w:t>
      </w:r>
    </w:p>
    <w:p>
      <w:pPr>
        <w:pStyle w:val="Default"/>
        <w:ind w:left="426"/>
        <w:jc w:val="both"/>
        <w:rPr>
          <w:rFonts w:ascii="Arial" w:hAnsi="Arial" w:cs="Arial"/>
          <w:sz w:val="22"/>
          <w:szCs w:val="22"/>
        </w:rPr>
      </w:pPr>
      <w:r>
        <w:rPr>
          <w:rFonts w:cs="Arial" w:ascii="Arial" w:hAnsi="Arial"/>
          <w:sz w:val="22"/>
          <w:szCs w:val="22"/>
        </w:rPr>
        <w:t>Poza tym przedmiot niniejszego zamówienia ze względów technicznych i organizacyjnych tworzy nierozerwalną całość, a więc zgodnie z art. 25 ust. 2 Pzp jest zamówieniem niepodzielnym na części.</w:t>
      </w:r>
    </w:p>
    <w:p>
      <w:pPr>
        <w:pStyle w:val="Default"/>
        <w:ind w:left="426"/>
        <w:jc w:val="both"/>
        <w:rPr>
          <w:rFonts w:ascii="Arial" w:hAnsi="Arial" w:cs="Arial"/>
          <w:sz w:val="22"/>
          <w:szCs w:val="22"/>
        </w:rPr>
      </w:pPr>
      <w:r>
        <w:rPr>
          <w:rFonts w:cs="Arial" w:ascii="Arial" w:hAnsi="Arial"/>
          <w:sz w:val="22"/>
          <w:szCs w:val="22"/>
        </w:rPr>
        <w:t>Ponadto przedmiot niniejszego zamówienia co do zasady jest realizowany przez przedsiębiorców stanowiących małe lub średnie przedsiębiorstwa, w związku z tym podział zamówienia na części nie jest konieczny (zasadny).</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pPr>
        <w:pStyle w:val="Default"/>
        <w:ind w:hanging="426" w:left="852"/>
        <w:jc w:val="both"/>
        <w:rPr>
          <w:rFonts w:ascii="Arial" w:hAnsi="Arial" w:cs="Arial"/>
          <w:sz w:val="22"/>
          <w:szCs w:val="22"/>
        </w:rPr>
      </w:pPr>
      <w:r>
        <w:rPr>
          <w:rFonts w:cs="Arial" w:ascii="Arial" w:hAnsi="Arial"/>
          <w:sz w:val="22"/>
          <w:szCs w:val="22"/>
        </w:rPr>
        <w:t>Nie dotyczy – Zamawiający nie dopuszcza do składania ofert częściowych.</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Informacje dotyczące ofert wariantowych, w tym informacje o sposobie przedstawiania ofert wariantowych oraz minimalne warunki, jakim muszą odpowiadać oferty wariantowe, jeżeli zamawiający wymaga lub dopuszcza ich składanie:</w:t>
      </w:r>
    </w:p>
    <w:p>
      <w:pPr>
        <w:pStyle w:val="Default"/>
        <w:ind w:left="426"/>
        <w:jc w:val="both"/>
        <w:rPr>
          <w:rFonts w:ascii="Arial" w:hAnsi="Arial" w:cs="Arial"/>
          <w:sz w:val="22"/>
          <w:szCs w:val="22"/>
        </w:rPr>
      </w:pPr>
      <w:r>
        <w:rPr>
          <w:rFonts w:cs="Arial" w:ascii="Arial" w:hAnsi="Arial"/>
          <w:sz w:val="22"/>
          <w:szCs w:val="22"/>
        </w:rPr>
        <w:t>Nie dotyczy – Zamawiający nie wymaga ani nie dopuszcza do składania ofert wariantowych.</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Wymagania w zakresie zatrudnienia na podstawie stosunku pracy, w okolicznościach, o których mowa w art. 95:</w:t>
      </w:r>
    </w:p>
    <w:p>
      <w:pPr>
        <w:pStyle w:val="Default"/>
        <w:ind w:left="426"/>
        <w:jc w:val="both"/>
        <w:rPr>
          <w:rFonts w:ascii="Arial" w:hAnsi="Arial" w:cs="Arial"/>
          <w:sz w:val="22"/>
          <w:szCs w:val="22"/>
        </w:rPr>
      </w:pPr>
      <w:r>
        <w:rPr>
          <w:rFonts w:cs="Arial" w:ascii="Arial" w:hAnsi="Arial"/>
          <w:sz w:val="22"/>
          <w:szCs w:val="22"/>
        </w:rPr>
        <w:t>Zamawiający wymaga zatrudnienia przez wykonawcę, podwykonawcę lub dalszego podwykonawcę na podstawie stosunku pracy osób wykonujących 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w:t>
      </w:r>
    </w:p>
    <w:p>
      <w:pPr>
        <w:pStyle w:val="Default"/>
        <w:ind w:left="426"/>
        <w:jc w:val="both"/>
        <w:rPr>
          <w:rFonts w:ascii="Arial" w:hAnsi="Arial" w:cs="Arial"/>
          <w:sz w:val="22"/>
          <w:szCs w:val="22"/>
        </w:rPr>
      </w:pPr>
      <w:r>
        <w:rPr>
          <w:rFonts w:cs="Arial" w:ascii="Arial" w:hAnsi="Arial"/>
          <w:sz w:val="22"/>
          <w:szCs w:val="22"/>
        </w:rPr>
        <w:t>Obowiązek zatrudnienia na podstawie umowy o pracę nie dotyczy sytuacji, w której wykonawca, podwykonawca lub dalszy podwykonawca osobiście wykonuje powyższe czynności (np. osoba fizyczna prowadząca działalność gospodarczą, wspólnicy spółki cywilnej).</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 xml:space="preserve">Wymagania w zakresie zatrudnienia osób, o których mowa w art. </w:t>
      </w:r>
      <w:bookmarkStart w:id="3" w:name="_Hlk127800553"/>
      <w:r>
        <w:rPr>
          <w:rFonts w:cs="Arial" w:ascii="Arial" w:hAnsi="Arial"/>
          <w:b/>
          <w:sz w:val="22"/>
          <w:szCs w:val="22"/>
          <w:u w:val="single"/>
        </w:rPr>
        <w:t>96 ust. 2 pkt 2</w:t>
      </w:r>
      <w:bookmarkEnd w:id="3"/>
      <w:r>
        <w:rPr>
          <w:rFonts w:cs="Arial" w:ascii="Arial" w:hAnsi="Arial"/>
          <w:b/>
          <w:sz w:val="22"/>
          <w:szCs w:val="22"/>
          <w:u w:val="single"/>
        </w:rPr>
        <w:t xml:space="preserve"> ustawy Pzp, jeżeli zamawiający przewiduje takie wymagania:</w:t>
      </w:r>
    </w:p>
    <w:p>
      <w:pPr>
        <w:pStyle w:val="Default"/>
        <w:ind w:hanging="426" w:left="852"/>
        <w:jc w:val="both"/>
        <w:rPr>
          <w:rFonts w:ascii="Arial" w:hAnsi="Arial" w:cs="Arial"/>
          <w:sz w:val="22"/>
          <w:szCs w:val="22"/>
        </w:rPr>
      </w:pPr>
      <w:r>
        <w:rPr>
          <w:rFonts w:cs="Arial" w:ascii="Arial" w:hAnsi="Arial"/>
          <w:sz w:val="22"/>
          <w:szCs w:val="22"/>
        </w:rPr>
        <w:t>Zamawiający nie przewiduje wymagań, o których mowa w art. 96 ust. 2 pkt 2 ustawy Pzp.</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Informacja o zastrzeżeniu możliwości ubiegania się o udzielenie zamówienia wyłącznie przez wykonawców, o których mowa w art. 94, jeżeli zamawiający przewiduje takie wymagania:</w:t>
      </w:r>
    </w:p>
    <w:p>
      <w:pPr>
        <w:pStyle w:val="Default"/>
        <w:ind w:hanging="426" w:left="852"/>
        <w:jc w:val="both"/>
        <w:rPr>
          <w:rFonts w:ascii="Arial" w:hAnsi="Arial" w:cs="Arial"/>
          <w:sz w:val="22"/>
          <w:szCs w:val="22"/>
        </w:rPr>
      </w:pPr>
      <w:r>
        <w:rPr>
          <w:rFonts w:cs="Arial" w:ascii="Arial" w:hAnsi="Arial"/>
          <w:sz w:val="22"/>
          <w:szCs w:val="22"/>
        </w:rPr>
        <w:t>Zamawiający nie przewiduje takich wymagań, o których mowa w art. 94 ustawy Pzp.</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b/>
          <w:sz w:val="22"/>
          <w:szCs w:val="22"/>
          <w:u w:val="single"/>
        </w:rPr>
      </w:pPr>
      <w:r>
        <w:rPr>
          <w:rFonts w:cs="Arial" w:ascii="Arial" w:hAnsi="Arial"/>
          <w:b/>
          <w:sz w:val="22"/>
          <w:szCs w:val="22"/>
          <w:u w:val="single"/>
        </w:rPr>
        <w:t xml:space="preserve">Informacja o przewidywanych zamówieniach, </w:t>
      </w:r>
      <w:bookmarkStart w:id="4" w:name="_Hlk128647475"/>
      <w:r>
        <w:rPr>
          <w:rFonts w:cs="Arial" w:ascii="Arial" w:hAnsi="Arial"/>
          <w:b/>
          <w:sz w:val="22"/>
          <w:szCs w:val="22"/>
          <w:u w:val="single"/>
        </w:rPr>
        <w:t>o których mowa w art. 214 ust. 1 pkt 7 i 8</w:t>
      </w:r>
      <w:bookmarkEnd w:id="4"/>
      <w:r>
        <w:rPr>
          <w:rFonts w:cs="Arial" w:ascii="Arial" w:hAnsi="Arial"/>
          <w:b/>
          <w:sz w:val="22"/>
          <w:szCs w:val="22"/>
          <w:u w:val="single"/>
        </w:rPr>
        <w:t xml:space="preserve"> ustawy Pzp, jeżeli zamawiający przewiduje udzielenie takich zamówień:</w:t>
      </w:r>
    </w:p>
    <w:p>
      <w:pPr>
        <w:pStyle w:val="Default"/>
        <w:ind w:left="426"/>
        <w:jc w:val="both"/>
        <w:rPr>
          <w:rFonts w:ascii="Arial" w:hAnsi="Arial" w:cs="Arial"/>
          <w:sz w:val="22"/>
          <w:szCs w:val="22"/>
        </w:rPr>
      </w:pPr>
      <w:r>
        <w:rPr>
          <w:rFonts w:cs="Arial" w:ascii="Arial" w:hAnsi="Arial"/>
          <w:sz w:val="22"/>
          <w:szCs w:val="22"/>
        </w:rPr>
        <w:t>Zamawiający nie przewiduje udzielenia zamówień o których mowa w art. 214 ust. 1 pkt 7 i 8 ustawy Pzp.</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b/>
          <w:color w:val="auto"/>
          <w:sz w:val="22"/>
          <w:szCs w:val="22"/>
          <w:u w:val="single"/>
        </w:rPr>
      </w:pPr>
      <w:r>
        <w:rPr>
          <w:rFonts w:cs="Arial" w:ascii="Arial" w:hAnsi="Arial"/>
          <w:b/>
          <w:sz w:val="22"/>
          <w:szCs w:val="22"/>
          <w:u w:val="single"/>
        </w:rPr>
        <w:t>Informacje dotyczące przeprowadzenia przez wykonawcę wizji lokalnej lub sprawdzenia przez niego dokumentów niezbędnych do realizacji zamówienia</w:t>
      </w:r>
      <w:bookmarkStart w:id="5" w:name="_Hlk128052385"/>
      <w:r>
        <w:rPr>
          <w:rFonts w:cs="Arial" w:ascii="Arial" w:hAnsi="Arial"/>
          <w:b/>
          <w:sz w:val="22"/>
          <w:szCs w:val="22"/>
          <w:u w:val="single"/>
        </w:rPr>
        <w:t>, o których mowa w art. 131 ust</w:t>
      </w:r>
      <w:r>
        <w:rPr>
          <w:rFonts w:cs="Arial" w:ascii="Arial" w:hAnsi="Arial"/>
          <w:b/>
          <w:color w:val="auto"/>
          <w:sz w:val="22"/>
          <w:szCs w:val="22"/>
          <w:u w:val="single"/>
        </w:rPr>
        <w:t>. 2,</w:t>
      </w:r>
      <w:bookmarkEnd w:id="5"/>
      <w:r>
        <w:rPr>
          <w:rFonts w:cs="Arial" w:ascii="Arial" w:hAnsi="Arial"/>
          <w:b/>
          <w:color w:val="auto"/>
          <w:sz w:val="22"/>
          <w:szCs w:val="22"/>
          <w:u w:val="single"/>
        </w:rPr>
        <w:t xml:space="preserve"> jeżeli zamawiający przewiduje możliwość albo wymaga złożenia oferty po odbyciu wizji lokalnej lub sprawdzeniu tych dokumentów:</w:t>
      </w:r>
    </w:p>
    <w:p>
      <w:pPr>
        <w:pStyle w:val="Default"/>
        <w:ind w:left="416"/>
        <w:jc w:val="both"/>
        <w:rPr>
          <w:rFonts w:ascii="Arial" w:hAnsi="Arial" w:cs="Arial"/>
          <w:b/>
          <w:color w:val="auto"/>
          <w:sz w:val="22"/>
          <w:szCs w:val="22"/>
        </w:rPr>
      </w:pPr>
      <w:r>
        <w:rPr>
          <w:rFonts w:cs="Arial" w:ascii="Arial" w:hAnsi="Arial"/>
          <w:b/>
          <w:color w:val="auto"/>
          <w:sz w:val="22"/>
          <w:szCs w:val="22"/>
        </w:rPr>
        <w:t>Zamawiający nie wymaga odbycia przez Wykonawców wizji lokalnej.</w:t>
      </w:r>
    </w:p>
    <w:p>
      <w:pPr>
        <w:pStyle w:val="Default"/>
        <w:ind w:left="426"/>
        <w:jc w:val="both"/>
        <w:rPr>
          <w:rFonts w:ascii="Arial" w:hAnsi="Arial" w:cs="Arial"/>
          <w:color w:val="auto"/>
          <w:sz w:val="22"/>
          <w:szCs w:val="22"/>
        </w:rPr>
      </w:pPr>
      <w:r>
        <w:rPr>
          <w:rFonts w:cs="Arial" w:ascii="Arial" w:hAnsi="Arial"/>
          <w:color w:val="auto"/>
          <w:sz w:val="22"/>
          <w:szCs w:val="22"/>
        </w:rPr>
        <w:t>Zamawiający zaleca wykonanie wizji lokalnej; w takim przypadku Wykonawca powinien złożyć do Zamawiającego, za pośrednictwem Platformy Zakupowej, wniosek o wizję lokalną.</w:t>
      </w:r>
    </w:p>
    <w:p>
      <w:pPr>
        <w:pStyle w:val="Default"/>
        <w:ind w:left="426"/>
        <w:jc w:val="both"/>
        <w:rPr>
          <w:rFonts w:ascii="Arial" w:hAnsi="Arial" w:cs="Arial"/>
          <w:color w:val="auto"/>
          <w:sz w:val="22"/>
          <w:szCs w:val="22"/>
        </w:rPr>
      </w:pPr>
      <w:r>
        <w:rPr>
          <w:rFonts w:cs="Arial" w:ascii="Arial" w:hAnsi="Arial"/>
          <w:color w:val="auto"/>
          <w:sz w:val="22"/>
          <w:szCs w:val="22"/>
        </w:rPr>
        <w:t>W przypadku skierowania przez Wykonawcę wniosku o możliwość odbycia wizji Zamawiający udostępni na stronie prowadzonego postępowania informację o terminie wizji, w której udział będzie możliwy dla wszystkich zainteresowanych Wykonawców.</w:t>
      </w:r>
    </w:p>
    <w:p>
      <w:pPr>
        <w:pStyle w:val="Default"/>
        <w:ind w:hanging="426" w:left="852"/>
        <w:jc w:val="both"/>
        <w:rPr>
          <w:rFonts w:ascii="Arial" w:hAnsi="Arial" w:cs="Arial"/>
          <w:color w:val="auto"/>
          <w:sz w:val="22"/>
          <w:szCs w:val="22"/>
        </w:rPr>
      </w:pPr>
      <w:r>
        <w:rPr>
          <w:rFonts w:cs="Arial" w:ascii="Arial" w:hAnsi="Arial"/>
          <w:color w:val="auto"/>
          <w:sz w:val="22"/>
          <w:szCs w:val="22"/>
        </w:rPr>
      </w:r>
    </w:p>
    <w:p>
      <w:pPr>
        <w:pStyle w:val="Default"/>
        <w:numPr>
          <w:ilvl w:val="0"/>
          <w:numId w:val="4"/>
        </w:numPr>
        <w:ind w:hanging="426" w:left="426"/>
        <w:jc w:val="both"/>
        <w:rPr>
          <w:rFonts w:ascii="Arial" w:hAnsi="Arial" w:cs="Arial"/>
          <w:b/>
          <w:sz w:val="22"/>
          <w:szCs w:val="22"/>
          <w:u w:val="single"/>
        </w:rPr>
      </w:pPr>
      <w:r>
        <w:rPr>
          <w:rFonts w:cs="Arial" w:ascii="Arial" w:hAnsi="Arial"/>
          <w:b/>
          <w:color w:val="auto"/>
          <w:sz w:val="22"/>
          <w:szCs w:val="22"/>
          <w:u w:val="single"/>
        </w:rPr>
        <w:t xml:space="preserve">Informacja o obowiązku osobistego wykonania przez wykonawcę kluczowych zadań, jeżeli zamawiający dokonuje takiego zastrzeżenia </w:t>
      </w:r>
      <w:r>
        <w:rPr>
          <w:rFonts w:cs="Arial" w:ascii="Arial" w:hAnsi="Arial"/>
          <w:b/>
          <w:sz w:val="22"/>
          <w:szCs w:val="22"/>
          <w:u w:val="single"/>
        </w:rPr>
        <w:t>zgodnie z art. 60 i art. 121:</w:t>
      </w:r>
    </w:p>
    <w:p>
      <w:pPr>
        <w:pStyle w:val="Default"/>
        <w:ind w:left="426"/>
        <w:jc w:val="both"/>
        <w:rPr>
          <w:rFonts w:ascii="Arial" w:hAnsi="Arial" w:cs="Arial"/>
          <w:sz w:val="22"/>
          <w:szCs w:val="22"/>
        </w:rPr>
      </w:pPr>
      <w:r>
        <w:rPr>
          <w:rFonts w:cs="Arial" w:ascii="Arial" w:hAnsi="Arial"/>
          <w:sz w:val="22"/>
          <w:szCs w:val="22"/>
        </w:rPr>
        <w:t>Zamawiający nie nakłada obowiązku osobistego wykonania kluczowych zadań przez wykonawcę.</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Termin wykonania zamówienia:</w:t>
      </w:r>
    </w:p>
    <w:p>
      <w:pPr>
        <w:pStyle w:val="Default"/>
        <w:ind w:left="426"/>
        <w:jc w:val="both"/>
        <w:rPr>
          <w:rFonts w:ascii="Arial" w:hAnsi="Arial" w:cs="Arial"/>
          <w:sz w:val="22"/>
          <w:szCs w:val="22"/>
        </w:rPr>
      </w:pPr>
      <w:r>
        <w:rPr>
          <w:rFonts w:cs="Arial" w:ascii="Arial" w:hAnsi="Arial"/>
          <w:sz w:val="22"/>
          <w:szCs w:val="22"/>
        </w:rPr>
        <w:t>Zamówienie należy zrealizować w terminie do 12 miesięcy od dnia zawarcia umowy.</w:t>
      </w:r>
    </w:p>
    <w:p>
      <w:pPr>
        <w:pStyle w:val="Default"/>
        <w:ind w:hanging="426" w:left="426"/>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Projektowane postanowienia umowy w sprawie zamówienia publicznego, które zostaną wprowadzone do treści tej umowy:</w:t>
      </w:r>
    </w:p>
    <w:p>
      <w:pPr>
        <w:pStyle w:val="Default"/>
        <w:ind w:left="426"/>
        <w:jc w:val="both"/>
        <w:rPr>
          <w:rFonts w:ascii="Arial" w:hAnsi="Arial" w:cs="Arial"/>
          <w:b/>
          <w:color w:val="auto"/>
          <w:sz w:val="22"/>
          <w:szCs w:val="22"/>
        </w:rPr>
      </w:pPr>
      <w:r>
        <w:rPr>
          <w:rFonts w:cs="Arial" w:ascii="Arial" w:hAnsi="Arial"/>
          <w:sz w:val="22"/>
          <w:szCs w:val="22"/>
        </w:rPr>
        <w:t xml:space="preserve">Projektowane postanowienia umowy w sprawie zamówienia publicznego, które zostaną wprowadzone do treści tej umowy </w:t>
      </w:r>
      <w:r>
        <w:rPr>
          <w:rFonts w:cs="Arial" w:ascii="Arial" w:hAnsi="Arial"/>
          <w:color w:val="auto"/>
          <w:sz w:val="22"/>
          <w:szCs w:val="22"/>
        </w:rPr>
        <w:t xml:space="preserve">zawiera </w:t>
      </w:r>
      <w:r>
        <w:rPr>
          <w:rFonts w:cs="Arial" w:ascii="Arial" w:hAnsi="Arial"/>
          <w:b/>
          <w:color w:val="auto"/>
          <w:sz w:val="22"/>
          <w:szCs w:val="22"/>
        </w:rPr>
        <w:t>załącznik nr 3 do SWZ.</w:t>
      </w:r>
    </w:p>
    <w:p>
      <w:pPr>
        <w:pStyle w:val="Default"/>
        <w:ind w:left="426"/>
        <w:jc w:val="both"/>
        <w:rPr>
          <w:rFonts w:ascii="Arial" w:hAnsi="Arial" w:cs="Arial"/>
          <w:sz w:val="22"/>
          <w:szCs w:val="22"/>
        </w:rPr>
      </w:pPr>
      <w:r>
        <w:rPr>
          <w:rFonts w:cs="Arial" w:ascii="Arial" w:hAnsi="Arial"/>
          <w:color w:val="auto"/>
          <w:sz w:val="22"/>
        </w:rPr>
        <w:t>Wykonawca składając ofertę akceptuje p</w:t>
      </w:r>
      <w:r>
        <w:rPr>
          <w:rFonts w:cs="Arial" w:ascii="Arial" w:hAnsi="Arial"/>
          <w:color w:val="auto"/>
          <w:sz w:val="22"/>
          <w:szCs w:val="22"/>
        </w:rPr>
        <w:t xml:space="preserve">rojektowane postanowienia umowy w sprawie zamówienia publicznego, które zostaną wprowadzone do treści </w:t>
      </w:r>
      <w:r>
        <w:rPr>
          <w:rFonts w:cs="Arial" w:ascii="Arial" w:hAnsi="Arial"/>
          <w:sz w:val="22"/>
          <w:szCs w:val="22"/>
        </w:rPr>
        <w:t xml:space="preserve">tej umowy. </w:t>
      </w:r>
      <w:r>
        <w:rPr>
          <w:rFonts w:cs="Arial" w:ascii="Arial" w:hAnsi="Arial"/>
          <w:sz w:val="22"/>
        </w:rPr>
        <w:t>Postanowienia umowy ustalone we Wzorze nie podlegają zmianie przez Wykonawcę.</w:t>
      </w:r>
    </w:p>
    <w:p>
      <w:pPr>
        <w:pStyle w:val="Default"/>
        <w:ind w:left="426"/>
        <w:jc w:val="both"/>
        <w:rPr>
          <w:rFonts w:ascii="Arial" w:hAnsi="Arial" w:cs="Arial"/>
          <w:color w:val="auto"/>
          <w:sz w:val="22"/>
          <w:szCs w:val="22"/>
        </w:rPr>
      </w:pPr>
      <w:r>
        <w:rPr>
          <w:rFonts w:cs="Arial" w:ascii="Arial" w:hAnsi="Arial"/>
          <w:sz w:val="22"/>
          <w:szCs w:val="22"/>
        </w:rPr>
        <w:t xml:space="preserve">Zamawiający przewiduje możliwość zmian postanowień zawartej umowy w oparciu o art. 455 ust. 1 pkt 1 ustawy Pzp w stosunku do treści oferty, </w:t>
      </w:r>
      <w:r>
        <w:rPr>
          <w:rFonts w:cs="Arial" w:ascii="Arial" w:hAnsi="Arial"/>
          <w:color w:val="auto"/>
          <w:sz w:val="22"/>
          <w:szCs w:val="22"/>
        </w:rPr>
        <w:t>na podstawie której dokonano wyboru Wykonawcy, zgodnie z warunkami zawartymi w ww. załączniku do SWZ.</w:t>
      </w:r>
    </w:p>
    <w:p>
      <w:pPr>
        <w:pStyle w:val="Default"/>
        <w:ind w:left="426"/>
        <w:jc w:val="both"/>
        <w:rPr>
          <w:rFonts w:ascii="Arial" w:hAnsi="Arial" w:cs="Arial"/>
          <w:sz w:val="22"/>
          <w:szCs w:val="22"/>
        </w:rPr>
      </w:pPr>
      <w:r>
        <w:rPr>
          <w:rFonts w:cs="Arial" w:ascii="Arial" w:hAnsi="Arial"/>
          <w:color w:val="auto"/>
          <w:sz w:val="22"/>
          <w:szCs w:val="22"/>
        </w:rPr>
        <w:t xml:space="preserve">Zmiana umowy może także nastąpić w innych przypadkach, o których mowa w ustawie </w:t>
      </w:r>
      <w:r>
        <w:rPr>
          <w:rFonts w:cs="Arial" w:ascii="Arial" w:hAnsi="Arial"/>
          <w:sz w:val="22"/>
          <w:szCs w:val="22"/>
        </w:rPr>
        <w:t>Pzp.</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Informacje o środkach komunikacji elektronicznej, przy użyciu których zamawiający będzie komunikował się z wykonawcami, oraz informacje o wymaganiach technicznych i organizacyjnych sporządzania, wysyłania i odbierania korespondencji elektronicznej:</w:t>
      </w:r>
    </w:p>
    <w:p>
      <w:pPr>
        <w:pStyle w:val="Default"/>
        <w:numPr>
          <w:ilvl w:val="0"/>
          <w:numId w:val="5"/>
        </w:numPr>
        <w:jc w:val="both"/>
        <w:rPr>
          <w:rFonts w:ascii="Arial" w:hAnsi="Arial" w:cs="Arial"/>
          <w:sz w:val="22"/>
          <w:szCs w:val="22"/>
        </w:rPr>
      </w:pPr>
      <w:r>
        <w:rPr>
          <w:rFonts w:cs="Arial" w:ascii="Arial" w:hAnsi="Arial"/>
          <w:sz w:val="22"/>
          <w:szCs w:val="22"/>
        </w:rPr>
        <w:t>W przedmiotowym postępowaniu komunikacja między Zamawiającym a Wykonawcami, w szczególności składanie oświadczeń, wniosków, zawiadomień, zapytań oraz przekazywanie informacji odbywa się drogą elektroniczną przy użyciu Platformy Zakupowej, o której mowa w pkt 1 SWZ.</w:t>
      </w:r>
    </w:p>
    <w:p>
      <w:pPr>
        <w:pStyle w:val="Default"/>
        <w:numPr>
          <w:ilvl w:val="0"/>
          <w:numId w:val="5"/>
        </w:numPr>
        <w:jc w:val="both"/>
        <w:rPr>
          <w:rFonts w:ascii="Arial" w:hAnsi="Arial" w:cs="Arial"/>
          <w:sz w:val="22"/>
          <w:szCs w:val="22"/>
        </w:rPr>
      </w:pPr>
      <w:r>
        <w:rPr>
          <w:rFonts w:cs="Arial" w:ascii="Arial" w:hAnsi="Arial"/>
          <w:sz w:val="22"/>
          <w:szCs w:val="22"/>
        </w:rPr>
        <w:t xml:space="preserve">W sytuacjach awaryjnych, np. w przypadku niedziałania Platformy Zakupowej, Zamawiający może również komunikować się z Wykonawcami za pomocą poczty elektronicznej (e-mail: </w:t>
      </w:r>
      <w:hyperlink r:id="rId7">
        <w:r>
          <w:rPr>
            <w:rStyle w:val="Hyperlink"/>
            <w:rFonts w:cs="Arial" w:ascii="Arial" w:hAnsi="Arial"/>
            <w:sz w:val="22"/>
            <w:szCs w:val="22"/>
          </w:rPr>
          <w:t>zamowienia@simzaglebie.pl</w:t>
        </w:r>
      </w:hyperlink>
      <w:r>
        <w:rPr>
          <w:rFonts w:cs="Arial" w:ascii="Arial" w:hAnsi="Arial"/>
          <w:sz w:val="22"/>
          <w:szCs w:val="22"/>
        </w:rPr>
        <w:t>).</w:t>
      </w:r>
    </w:p>
    <w:p>
      <w:pPr>
        <w:pStyle w:val="Default"/>
        <w:numPr>
          <w:ilvl w:val="0"/>
          <w:numId w:val="5"/>
        </w:numPr>
        <w:jc w:val="both"/>
        <w:rPr>
          <w:rFonts w:ascii="Arial" w:hAnsi="Arial" w:cs="Arial"/>
          <w:sz w:val="22"/>
          <w:szCs w:val="22"/>
        </w:rPr>
      </w:pPr>
      <w:r>
        <w:rPr>
          <w:rFonts w:cs="Arial" w:ascii="Arial" w:hAnsi="Arial"/>
          <w:sz w:val="22"/>
          <w:szCs w:val="22"/>
        </w:rPr>
        <w:t>Zamawiający będzie przekazywał Wykonawcom informacje w formie elektronicznej za pośrednictwem Platformy Zakupowej. Kierowane do wszystkich Wykonawców informacje Zamawiający będzie zamieszczał na Platformie Zakupowej. Korespondencję, której adresatem jest konkretny Wykonawca, Zamawiający będzie przekazywał temu Wykonawcy w formie elektronicznej za pośrednictwem Platformy Zakupowej, z zastrzeżeniem ppkt 2.</w:t>
      </w:r>
    </w:p>
    <w:p>
      <w:pPr>
        <w:pStyle w:val="Default"/>
        <w:numPr>
          <w:ilvl w:val="0"/>
          <w:numId w:val="5"/>
        </w:numPr>
        <w:jc w:val="both"/>
        <w:rPr>
          <w:rFonts w:ascii="Arial" w:hAnsi="Arial" w:cs="Arial"/>
          <w:sz w:val="22"/>
          <w:szCs w:val="22"/>
        </w:rPr>
      </w:pPr>
      <w:r>
        <w:rPr>
          <w:rFonts w:cs="Arial" w:ascii="Arial" w:hAnsi="Arial"/>
          <w:sz w:val="22"/>
          <w:szCs w:val="22"/>
        </w:rPr>
        <w:t xml:space="preserve">Wykonawca przystępując do niniejszego postępowania o udzielenie zamówienia publicznego, akceptuje warunki korzystania z Platformy Zakupowej, określone w Regulaminie Platformy Zakupowej zawartych na stronie </w:t>
      </w:r>
      <w:hyperlink r:id="rId8">
        <w:r>
          <w:rPr>
            <w:rStyle w:val="Hyperlink"/>
            <w:rFonts w:cs="Arial" w:ascii="Arial" w:hAnsi="Arial"/>
            <w:sz w:val="22"/>
            <w:szCs w:val="22"/>
          </w:rPr>
          <w:t>https://platformazakupowa.pl/strona/1-regulamin</w:t>
        </w:r>
      </w:hyperlink>
      <w:r>
        <w:rPr>
          <w:rFonts w:cs="Arial" w:ascii="Arial" w:hAnsi="Arial"/>
          <w:sz w:val="22"/>
          <w:szCs w:val="22"/>
        </w:rPr>
        <w:t xml:space="preserve"> oraz zobowiązuje się korzystając z Platformy </w:t>
      </w:r>
      <w:r>
        <w:rPr>
          <w:rFonts w:cs="Arial" w:ascii="Arial" w:hAnsi="Arial"/>
          <w:color w:val="auto"/>
          <w:sz w:val="22"/>
          <w:szCs w:val="22"/>
        </w:rPr>
        <w:t xml:space="preserve">Zakupowej do przestrzegania postanowień tego regulaminu oraz zapoznania z instrukcjami dla Wykonawców zawartych na stronie </w:t>
      </w:r>
      <w:hyperlink r:id="rId9">
        <w:r>
          <w:rPr>
            <w:rStyle w:val="Hyperlink"/>
            <w:rFonts w:cs="Arial" w:ascii="Arial" w:hAnsi="Arial"/>
            <w:color w:themeColor="accent1" w:val="4472C4"/>
            <w:sz w:val="22"/>
            <w:szCs w:val="22"/>
          </w:rPr>
          <w:t>https://platformazakupowa.pl/strona/45-instrukcje</w:t>
        </w:r>
      </w:hyperlink>
      <w:r>
        <w:rPr>
          <w:rFonts w:cs="Arial" w:ascii="Arial" w:hAnsi="Arial"/>
          <w:color w:val="auto"/>
          <w:sz w:val="22"/>
          <w:szCs w:val="22"/>
        </w:rPr>
        <w:t>.</w:t>
      </w:r>
    </w:p>
    <w:p>
      <w:pPr>
        <w:pStyle w:val="Default"/>
        <w:numPr>
          <w:ilvl w:val="0"/>
          <w:numId w:val="5"/>
        </w:numPr>
        <w:jc w:val="both"/>
        <w:rPr>
          <w:rFonts w:ascii="Arial" w:hAnsi="Arial" w:cs="Arial"/>
          <w:sz w:val="22"/>
          <w:szCs w:val="22"/>
        </w:rPr>
      </w:pPr>
      <w:r>
        <w:rPr>
          <w:rFonts w:cs="Arial" w:ascii="Arial" w:hAnsi="Arial"/>
          <w:sz w:val="22"/>
          <w:szCs w:val="22"/>
        </w:rPr>
        <w:t xml:space="preserve">Zamawiający informuje, że wymagania techniczne i organizacyjne sporządzania, wysyłania i odbierania korespondencji elektronicznej opisane zostały w Regulaminie korzystania z Platformy Zakupowej dostępnej pod adresem </w:t>
      </w:r>
      <w:hyperlink r:id="rId10">
        <w:r>
          <w:rPr>
            <w:rStyle w:val="Hyperlink"/>
            <w:rFonts w:cs="Arial" w:ascii="Arial" w:hAnsi="Arial"/>
            <w:sz w:val="22"/>
            <w:szCs w:val="22"/>
          </w:rPr>
          <w:t>https://platformazakupowa.pl/strona/1-regulamin</w:t>
        </w:r>
      </w:hyperlink>
      <w:r>
        <w:rPr>
          <w:rFonts w:cs="Arial" w:ascii="Arial" w:hAnsi="Arial"/>
          <w:sz w:val="22"/>
          <w:szCs w:val="22"/>
        </w:rPr>
        <w:t xml:space="preserve"> oraz w instrukcjach dla Wykonawców zawartych na stronie </w:t>
      </w:r>
      <w:hyperlink r:id="rId11">
        <w:r>
          <w:rPr>
            <w:rStyle w:val="Hyperlink"/>
            <w:rFonts w:cs="Arial" w:ascii="Arial" w:hAnsi="Arial"/>
            <w:sz w:val="22"/>
            <w:szCs w:val="22"/>
          </w:rPr>
          <w:t>https://platformazakupowa.pl/strona/45-instrukcje</w:t>
        </w:r>
      </w:hyperlink>
      <w:r>
        <w:rPr>
          <w:rFonts w:cs="Arial" w:ascii="Arial" w:hAnsi="Arial"/>
          <w:color w:val="FF0000"/>
          <w:sz w:val="22"/>
          <w:szCs w:val="22"/>
        </w:rPr>
        <w:t>.</w:t>
      </w:r>
    </w:p>
    <w:p>
      <w:pPr>
        <w:pStyle w:val="Default"/>
        <w:numPr>
          <w:ilvl w:val="0"/>
          <w:numId w:val="5"/>
        </w:numPr>
        <w:ind w:hanging="426" w:left="852"/>
        <w:jc w:val="both"/>
        <w:rPr>
          <w:rFonts w:ascii="Arial" w:hAnsi="Arial" w:cs="Arial"/>
          <w:sz w:val="22"/>
          <w:szCs w:val="22"/>
        </w:rPr>
      </w:pPr>
      <w:r>
        <w:rPr>
          <w:rFonts w:cs="Arial" w:ascii="Arial" w:hAnsi="Arial"/>
          <w:color w:val="auto"/>
          <w:sz w:val="22"/>
          <w:szCs w:val="22"/>
        </w:rPr>
        <w:t>Sposób przygotowania dokumentów elektronicznych oraz komunikacja między Zamawiającym a Wykonawcą muszą być zgodne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2020r., poz. 2452) oraz</w:t>
      </w:r>
      <w:r>
        <w:rPr>
          <w:rFonts w:cs="Arial" w:ascii="Arial" w:hAnsi="Arial"/>
          <w:sz w:val="22"/>
          <w:szCs w:val="22"/>
        </w:rPr>
        <w:t xml:space="preserve"> Rozporządzeniem Ministra Rozwoju, Pracy i Technologii z dnia 23 grudnia 2020 r. w sprawie podmiotowych środków dowodowych oraz innych dokumentów lub oświadczeń, jakich może żądać zamawiający od wykonawcy (Dz. U. z 2020 poz. 2415).</w:t>
      </w:r>
    </w:p>
    <w:p>
      <w:pPr>
        <w:pStyle w:val="Default"/>
        <w:numPr>
          <w:ilvl w:val="0"/>
          <w:numId w:val="5"/>
        </w:numPr>
        <w:jc w:val="both"/>
        <w:rPr>
          <w:rFonts w:ascii="Arial" w:hAnsi="Arial" w:cs="Arial"/>
          <w:sz w:val="22"/>
          <w:szCs w:val="22"/>
        </w:rPr>
      </w:pPr>
      <w:r>
        <w:rPr>
          <w:rFonts w:cs="Arial" w:ascii="Arial" w:hAnsi="Arial"/>
          <w:color w:val="auto"/>
          <w:sz w:val="22"/>
          <w:szCs w:val="22"/>
        </w:rPr>
        <w:t xml:space="preserve">Wsparcia technicznego w zakresie działania Platformy Zakupowej udziela jej dostawca, tj. Open Nexus Sp. z o.o., ul. Bolesława Krzywoustego 3, 61-144 Poznań - Centrum Wsparcia Klienta (pon. - pt. 8:00-17:00) 22 101 02 02, e-mail: </w:t>
      </w:r>
      <w:hyperlink r:id="rId12">
        <w:r>
          <w:rPr>
            <w:rStyle w:val="Hyperlink"/>
            <w:rFonts w:cs="Arial" w:ascii="Arial" w:hAnsi="Arial"/>
            <w:sz w:val="22"/>
            <w:szCs w:val="22"/>
          </w:rPr>
          <w:t>cwk@platformazakupowa.pl</w:t>
        </w:r>
      </w:hyperlink>
      <w:r>
        <w:rPr>
          <w:rFonts w:cs="Arial" w:ascii="Arial" w:hAnsi="Arial"/>
          <w:color w:val="FF0000"/>
          <w:sz w:val="22"/>
          <w:szCs w:val="22"/>
        </w:rPr>
        <w:t>.</w:t>
      </w:r>
    </w:p>
    <w:p>
      <w:pPr>
        <w:pStyle w:val="Default"/>
        <w:numPr>
          <w:ilvl w:val="0"/>
          <w:numId w:val="5"/>
        </w:numPr>
        <w:jc w:val="both"/>
        <w:rPr>
          <w:rFonts w:ascii="Arial" w:hAnsi="Arial" w:cs="Arial"/>
          <w:sz w:val="22"/>
          <w:szCs w:val="22"/>
        </w:rPr>
      </w:pPr>
      <w:r>
        <w:rPr>
          <w:rFonts w:cs="Arial" w:ascii="Arial" w:hAnsi="Arial"/>
          <w:sz w:val="22"/>
          <w:szCs w:val="22"/>
        </w:rPr>
        <w:t>W korespondencji kierowanej do Zamawiającego Wykonawcy powinni posługiwać się numerem przedmiotowego postępowania.</w:t>
      </w:r>
    </w:p>
    <w:p>
      <w:pPr>
        <w:pStyle w:val="Default"/>
        <w:numPr>
          <w:ilvl w:val="0"/>
          <w:numId w:val="5"/>
        </w:numPr>
        <w:jc w:val="both"/>
        <w:rPr>
          <w:rFonts w:ascii="Arial" w:hAnsi="Arial" w:cs="Arial"/>
          <w:sz w:val="22"/>
          <w:szCs w:val="22"/>
        </w:rPr>
      </w:pPr>
      <w:r>
        <w:rPr>
          <w:rFonts w:cs="Arial" w:ascii="Arial" w:hAnsi="Arial"/>
          <w:sz w:val="22"/>
          <w:szCs w:val="22"/>
        </w:rPr>
        <w:t>Zamawiający informuje, iż w przypadku przesyłania przez Wykonawcę dokumentów elektronicznych skompresowanych (w tym oferty przetargowej) dopuszczone są wyłącznie formaty danych wskazane w Rozporządzeniu Rady Ministrów z dnia 12 kwietnia 2012 r. (tj. Dz. U. z 2017 r., poz. 2247) w sprawie Krajowych Ram Interoperacyjności, minimalnych wymagań dla rejestrów publicznych i wymiany informacji w postaci elektronicznej oraz minimalnych wymagań dla systemów teleinformatycznych.</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 xml:space="preserve">Informacje o sposobie komunikowania się zamawiającego z wykonawcami w inny sposób </w:t>
      </w:r>
      <w:bookmarkStart w:id="6" w:name="_Hlk128057625"/>
      <w:r>
        <w:rPr>
          <w:rFonts w:cs="Arial" w:ascii="Arial" w:hAnsi="Arial"/>
          <w:b/>
          <w:sz w:val="22"/>
          <w:szCs w:val="22"/>
          <w:u w:val="single"/>
        </w:rPr>
        <w:t xml:space="preserve">niż przy użyciu środków komunikacji elektronicznej </w:t>
      </w:r>
      <w:bookmarkEnd w:id="6"/>
      <w:r>
        <w:rPr>
          <w:rFonts w:cs="Arial" w:ascii="Arial" w:hAnsi="Arial"/>
          <w:b/>
          <w:sz w:val="22"/>
          <w:szCs w:val="22"/>
          <w:u w:val="single"/>
        </w:rPr>
        <w:t>w przypadku zaistnienia jednej z sytuacji określonych w art. 65 ust. 1, art. 66 i art. 69:</w:t>
      </w:r>
    </w:p>
    <w:p>
      <w:pPr>
        <w:pStyle w:val="Default"/>
        <w:ind w:left="426"/>
        <w:jc w:val="both"/>
        <w:rPr>
          <w:rFonts w:ascii="Arial" w:hAnsi="Arial" w:cs="Arial"/>
          <w:sz w:val="22"/>
          <w:szCs w:val="22"/>
        </w:rPr>
      </w:pPr>
      <w:r>
        <w:rPr>
          <w:rFonts w:cs="Arial" w:ascii="Arial" w:hAnsi="Arial"/>
          <w:sz w:val="22"/>
          <w:szCs w:val="22"/>
        </w:rPr>
        <w:t>Nie dotyczy – Zamawiający nie przewiduje komunikacji z Wykonawcami w inny sposób niż przy użyciu środków komunikacji elektronicznej.</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Wskazanie osób uprawnionych do komunikowania się z wykonawcami oraz opis sposobu udzielania wyjaśnień treści SWZ:</w:t>
      </w:r>
    </w:p>
    <w:p>
      <w:pPr>
        <w:pStyle w:val="Default"/>
        <w:ind w:firstLine="426"/>
        <w:jc w:val="both"/>
        <w:rPr>
          <w:rFonts w:ascii="Arial" w:hAnsi="Arial" w:cs="Arial"/>
          <w:sz w:val="22"/>
          <w:szCs w:val="22"/>
        </w:rPr>
      </w:pPr>
      <w:r>
        <w:rPr>
          <w:rFonts w:cs="Arial" w:ascii="Arial" w:hAnsi="Arial"/>
          <w:sz w:val="22"/>
          <w:szCs w:val="22"/>
        </w:rPr>
        <w:t xml:space="preserve">Osoby wskazane do porozumiewania się z wykonawcami: </w:t>
      </w:r>
    </w:p>
    <w:p>
      <w:pPr>
        <w:pStyle w:val="Normal"/>
        <w:spacing w:lineRule="auto" w:line="240" w:before="0" w:after="0"/>
        <w:ind w:firstLine="406" w:left="20" w:right="1534"/>
        <w:rPr>
          <w:rFonts w:ascii="Arial" w:hAnsi="Arial" w:cs="Arial"/>
          <w:sz w:val="22"/>
        </w:rPr>
      </w:pPr>
      <w:r>
        <w:rPr>
          <w:rFonts w:cs="Arial" w:ascii="Arial" w:hAnsi="Arial"/>
          <w:sz w:val="22"/>
        </w:rPr>
        <w:t>-</w:t>
        <w:tab/>
        <w:t>w zakresie dotyczącym przedmiotu zamówienia:</w:t>
      </w:r>
    </w:p>
    <w:p>
      <w:pPr>
        <w:pStyle w:val="ListParagraph"/>
        <w:numPr>
          <w:ilvl w:val="0"/>
          <w:numId w:val="6"/>
        </w:numPr>
        <w:spacing w:lineRule="auto" w:line="240" w:before="0" w:after="0"/>
        <w:ind w:hanging="437" w:left="1146" w:right="1534"/>
        <w:contextualSpacing/>
        <w:rPr>
          <w:rFonts w:ascii="Arial" w:hAnsi="Arial" w:cs="Arial"/>
          <w:sz w:val="22"/>
        </w:rPr>
      </w:pPr>
      <w:r>
        <w:rPr>
          <w:rFonts w:cs="Arial" w:ascii="Arial" w:hAnsi="Arial"/>
          <w:sz w:val="22"/>
        </w:rPr>
        <w:t>Marcin Szymczyk tel. +48 500 408 604</w:t>
      </w:r>
    </w:p>
    <w:p>
      <w:pPr>
        <w:pStyle w:val="Normal"/>
        <w:spacing w:lineRule="auto" w:line="240" w:before="0" w:after="0"/>
        <w:ind w:firstLine="406" w:left="20" w:right="1534"/>
        <w:rPr>
          <w:rFonts w:ascii="Arial" w:hAnsi="Arial" w:cs="Arial"/>
          <w:sz w:val="22"/>
        </w:rPr>
      </w:pPr>
      <w:r>
        <w:rPr>
          <w:rFonts w:cs="Arial" w:ascii="Arial" w:hAnsi="Arial"/>
          <w:sz w:val="22"/>
        </w:rPr>
        <w:t>-</w:t>
        <w:tab/>
        <w:t>w zakresie dotyczącym zagadnień proceduralnych:</w:t>
      </w:r>
    </w:p>
    <w:p>
      <w:pPr>
        <w:pStyle w:val="ListParagraph"/>
        <w:numPr>
          <w:ilvl w:val="0"/>
          <w:numId w:val="6"/>
        </w:numPr>
        <w:spacing w:lineRule="auto" w:line="240" w:before="0" w:after="0"/>
        <w:ind w:hanging="437" w:left="1146" w:right="1534"/>
        <w:contextualSpacing/>
        <w:rPr>
          <w:rFonts w:ascii="Arial" w:hAnsi="Arial" w:cs="Arial"/>
          <w:sz w:val="22"/>
        </w:rPr>
      </w:pPr>
      <w:r>
        <w:rPr>
          <w:rFonts w:cs="Arial" w:ascii="Arial" w:hAnsi="Arial"/>
          <w:sz w:val="22"/>
        </w:rPr>
        <w:t>Marcin Szymczyk tel. +48 500 408 604.</w:t>
      </w:r>
    </w:p>
    <w:p>
      <w:pPr>
        <w:pStyle w:val="Default"/>
        <w:ind w:hanging="426" w:left="852"/>
        <w:jc w:val="both"/>
        <w:rPr>
          <w:rFonts w:ascii="Arial" w:hAnsi="Arial" w:cs="Arial"/>
          <w:sz w:val="22"/>
          <w:szCs w:val="22"/>
        </w:rPr>
      </w:pPr>
      <w:r>
        <w:rPr>
          <w:rFonts w:cs="Arial" w:ascii="Arial" w:hAnsi="Arial"/>
          <w:sz w:val="22"/>
          <w:szCs w:val="22"/>
        </w:rPr>
      </w:r>
    </w:p>
    <w:p>
      <w:pPr>
        <w:pStyle w:val="Default"/>
        <w:ind w:hanging="426" w:left="852"/>
        <w:jc w:val="both"/>
        <w:rPr>
          <w:rFonts w:ascii="Arial" w:hAnsi="Arial" w:cs="Arial"/>
          <w:b/>
          <w:sz w:val="22"/>
          <w:szCs w:val="22"/>
        </w:rPr>
      </w:pPr>
      <w:r>
        <w:rPr>
          <w:rFonts w:cs="Arial" w:ascii="Arial" w:hAnsi="Arial"/>
          <w:b/>
          <w:sz w:val="22"/>
          <w:szCs w:val="22"/>
        </w:rPr>
        <w:t>Opis sposobu udzielania wyjaśnień treści SWZ:</w:t>
      </w:r>
    </w:p>
    <w:p>
      <w:pPr>
        <w:pStyle w:val="Default"/>
        <w:numPr>
          <w:ilvl w:val="0"/>
          <w:numId w:val="33"/>
        </w:numPr>
        <w:jc w:val="both"/>
        <w:rPr>
          <w:rFonts w:ascii="Arial" w:hAnsi="Arial" w:cs="Arial"/>
          <w:sz w:val="22"/>
          <w:szCs w:val="22"/>
        </w:rPr>
      </w:pPr>
      <w:r>
        <w:rPr>
          <w:rFonts w:cs="Arial" w:ascii="Arial" w:hAnsi="Arial"/>
          <w:sz w:val="22"/>
          <w:szCs w:val="22"/>
        </w:rPr>
        <w:t xml:space="preserve">Wykonawca może zwrócić się do zamawiającego z wnioskiem o wyjaśnienie treści SWZ, kierując swoje zapytania do zamawiającego poprzez stronę internetową prowadzonego postepowania </w:t>
      </w:r>
      <w:hyperlink r:id="rId13">
        <w:r>
          <w:rPr>
            <w:rStyle w:val="Hyperlink"/>
            <w:rFonts w:cs="Arial" w:ascii="Arial" w:hAnsi="Arial"/>
            <w:sz w:val="22"/>
            <w:szCs w:val="22"/>
          </w:rPr>
          <w:t>https://platformazakupowa.pl/pn/simzaglebie</w:t>
        </w:r>
      </w:hyperlink>
      <w:r>
        <w:rPr>
          <w:rFonts w:cs="Arial" w:ascii="Arial" w:hAnsi="Arial"/>
          <w:sz w:val="22"/>
          <w:szCs w:val="22"/>
        </w:rPr>
        <w:t xml:space="preserve"> w zakładce “Wyślij wiadomość do zamawiającego”.</w:t>
      </w:r>
    </w:p>
    <w:p>
      <w:pPr>
        <w:pStyle w:val="Default"/>
        <w:numPr>
          <w:ilvl w:val="0"/>
          <w:numId w:val="33"/>
        </w:numPr>
        <w:jc w:val="both"/>
        <w:rPr>
          <w:rFonts w:ascii="Arial" w:hAnsi="Arial" w:cs="Arial"/>
          <w:sz w:val="22"/>
          <w:szCs w:val="22"/>
        </w:rPr>
      </w:pPr>
      <w:r>
        <w:rPr>
          <w:rFonts w:cs="Arial" w:ascii="Arial" w:hAnsi="Arial"/>
          <w:sz w:val="22"/>
          <w:szCs w:val="22"/>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pPr>
        <w:pStyle w:val="Default"/>
        <w:numPr>
          <w:ilvl w:val="0"/>
          <w:numId w:val="33"/>
        </w:numPr>
        <w:jc w:val="both"/>
        <w:rPr>
          <w:rFonts w:ascii="Arial" w:hAnsi="Arial" w:cs="Arial"/>
          <w:sz w:val="22"/>
          <w:szCs w:val="22"/>
        </w:rPr>
      </w:pPr>
      <w:r>
        <w:rPr>
          <w:rFonts w:cs="Arial" w:ascii="Arial" w:hAnsi="Arial"/>
          <w:sz w:val="22"/>
          <w:szCs w:val="22"/>
        </w:rPr>
        <w:t>Jeżeli zamawiający nie udzieli wyjaśnień w terminie, o którym mowa w ppkt. 2, przedłuża termin składania ofert o czas niezbędny do zapoznania się wszystkich zainteresowanych wykonawców z wyjaśnieniami niezbędnymi do należytego przygotowania i złożenia ofert.</w:t>
      </w:r>
    </w:p>
    <w:p>
      <w:pPr>
        <w:pStyle w:val="Default"/>
        <w:numPr>
          <w:ilvl w:val="0"/>
          <w:numId w:val="33"/>
        </w:numPr>
        <w:jc w:val="both"/>
        <w:rPr>
          <w:rFonts w:ascii="Arial" w:hAnsi="Arial" w:cs="Arial"/>
          <w:sz w:val="22"/>
          <w:szCs w:val="22"/>
        </w:rPr>
      </w:pPr>
      <w:r>
        <w:rPr>
          <w:rFonts w:cs="Arial" w:ascii="Arial" w:hAnsi="Arial"/>
          <w:sz w:val="22"/>
          <w:szCs w:val="22"/>
        </w:rPr>
        <w:t>W przypadku, gdy wniosek o wyjaśnienie treści SWZ nie wpłynął w terminie, o którym mowa w ppkt. 2, zamawiający nie ma obowiązku udzielania wyjaśnień SWZ oraz obowiązku przedłużenia terminu składania ofert.</w:t>
      </w:r>
    </w:p>
    <w:p>
      <w:pPr>
        <w:pStyle w:val="Default"/>
        <w:numPr>
          <w:ilvl w:val="0"/>
          <w:numId w:val="33"/>
        </w:numPr>
        <w:jc w:val="both"/>
        <w:rPr>
          <w:rFonts w:ascii="Arial" w:hAnsi="Arial" w:cs="Arial"/>
          <w:sz w:val="22"/>
          <w:szCs w:val="22"/>
        </w:rPr>
      </w:pPr>
      <w:r>
        <w:rPr>
          <w:rFonts w:cs="Arial" w:ascii="Arial" w:hAnsi="Arial"/>
          <w:sz w:val="22"/>
          <w:szCs w:val="22"/>
        </w:rPr>
        <w:t>Przedłużenie terminu składania ofert, o których mowa w ppkt. 4, nie wpływa na bieg terminu składania wniosku o wyjaśnienie treści SWZ.</w:t>
      </w:r>
    </w:p>
    <w:p>
      <w:pPr>
        <w:pStyle w:val="Default"/>
        <w:numPr>
          <w:ilvl w:val="0"/>
          <w:numId w:val="33"/>
        </w:numPr>
        <w:jc w:val="both"/>
        <w:rPr>
          <w:rFonts w:ascii="Arial" w:hAnsi="Arial" w:cs="Arial"/>
          <w:sz w:val="22"/>
          <w:szCs w:val="22"/>
        </w:rPr>
      </w:pPr>
      <w:r>
        <w:rPr>
          <w:rFonts w:cs="Arial" w:ascii="Arial" w:hAnsi="Arial"/>
          <w:sz w:val="22"/>
          <w:szCs w:val="22"/>
        </w:rPr>
        <w:t>Treść zapytań wraz z wyjaśnieniami zamawiający udostępnia, bez ujawniania źródła zapytania, na stronie internetowej prowadzonego postępowania, a w przypadkach, o których mowa w art. 280 ust. 2 i 3 ustawy Pzp, przekazuje wykonawcom, którym udostępnił SWZ.</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Termin związania ofertą:</w:t>
      </w:r>
    </w:p>
    <w:p>
      <w:pPr>
        <w:pStyle w:val="Default"/>
        <w:ind w:left="426"/>
        <w:jc w:val="both"/>
        <w:rPr>
          <w:rFonts w:ascii="Arial" w:hAnsi="Arial" w:cs="Arial"/>
          <w:color w:val="auto"/>
          <w:sz w:val="22"/>
          <w:szCs w:val="22"/>
        </w:rPr>
      </w:pPr>
      <w:r>
        <w:rPr>
          <w:rFonts w:cs="Arial" w:ascii="Arial" w:hAnsi="Arial"/>
          <w:sz w:val="22"/>
          <w:szCs w:val="22"/>
        </w:rPr>
        <w:t xml:space="preserve">30 dni od dnia upływu terminu składania ofert przy czym pierwszym dniem terminu związania ofertą jest dzień, w którym upływa termin </w:t>
      </w:r>
      <w:r>
        <w:rPr>
          <w:rFonts w:cs="Arial" w:ascii="Arial" w:hAnsi="Arial"/>
          <w:color w:val="auto"/>
          <w:sz w:val="22"/>
          <w:szCs w:val="22"/>
        </w:rPr>
        <w:t>składania ofert, tj. do dnia 26.11.2024 r.</w:t>
      </w:r>
    </w:p>
    <w:p>
      <w:pPr>
        <w:pStyle w:val="Default"/>
        <w:ind w:hanging="426" w:left="852"/>
        <w:jc w:val="both"/>
        <w:rPr>
          <w:rFonts w:ascii="Arial" w:hAnsi="Arial" w:cs="Arial"/>
          <w:color w:val="auto"/>
          <w:sz w:val="22"/>
          <w:szCs w:val="22"/>
        </w:rPr>
      </w:pPr>
      <w:r>
        <w:rPr>
          <w:rFonts w:cs="Arial" w:ascii="Arial" w:hAnsi="Arial"/>
          <w:color w:val="auto"/>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Wymagania dotyczące wadium, w tym jego kwotę, jeżeli zamawiający przewiduje obowiązek wniesienia wadium:</w:t>
      </w:r>
    </w:p>
    <w:p>
      <w:pPr>
        <w:pStyle w:val="Default"/>
        <w:ind w:left="426"/>
        <w:jc w:val="both"/>
        <w:rPr>
          <w:rFonts w:ascii="Arial" w:hAnsi="Arial" w:cs="Arial"/>
          <w:sz w:val="22"/>
          <w:szCs w:val="22"/>
        </w:rPr>
      </w:pPr>
      <w:r>
        <w:rPr>
          <w:rFonts w:cs="Arial" w:ascii="Arial" w:hAnsi="Arial"/>
          <w:sz w:val="22"/>
          <w:szCs w:val="22"/>
        </w:rPr>
        <w:t>Zamawiający wymaga wniesienia wadium.</w:t>
      </w:r>
    </w:p>
    <w:p>
      <w:pPr>
        <w:pStyle w:val="Default"/>
        <w:ind w:left="426"/>
        <w:jc w:val="both"/>
        <w:rPr>
          <w:rFonts w:ascii="Arial" w:hAnsi="Arial" w:cs="Arial"/>
          <w:sz w:val="22"/>
          <w:szCs w:val="22"/>
        </w:rPr>
      </w:pPr>
      <w:r>
        <w:rPr>
          <w:rFonts w:cs="Arial" w:ascii="Arial" w:hAnsi="Arial"/>
          <w:sz w:val="22"/>
          <w:szCs w:val="22"/>
        </w:rPr>
        <w:t>Wadium w kwocie 200 000,00 zł (słownie: dwieście tysięcy złotych) Wykonawca winien wnieść przed upływem terminu składania ofert i utrzymywać nieprzerwanie do dnia upływu terminu związania ofertą, z wyjątkiem przypadków, o których mowa w art. 98 ust. 1 pkt 2 i 3 oraz ust. 2 ustawy Pzp. Przedłużenie terminu związania ofertą jest dopuszczalne tylko z jednoczesnym przedłużeniem okresu ważności wadium albo, jeżeli nie jest to możliwe, z wniesieniem nowego wadium na przedłużony okres związania ofertą.</w:t>
      </w:r>
    </w:p>
    <w:p>
      <w:pPr>
        <w:pStyle w:val="Default"/>
        <w:ind w:left="426"/>
        <w:jc w:val="both"/>
        <w:rPr>
          <w:rFonts w:ascii="Arial" w:hAnsi="Arial" w:cs="Arial"/>
          <w:sz w:val="22"/>
          <w:szCs w:val="22"/>
        </w:rPr>
      </w:pPr>
      <w:r>
        <w:rPr>
          <w:rFonts w:cs="Arial" w:ascii="Arial" w:hAnsi="Arial"/>
          <w:sz w:val="22"/>
          <w:szCs w:val="22"/>
        </w:rPr>
        <w:t>Wadium może być wnoszone według wyboru wykonawcy w jednej lub kilku następujących formach:</w:t>
      </w:r>
    </w:p>
    <w:p>
      <w:pPr>
        <w:pStyle w:val="Default"/>
        <w:numPr>
          <w:ilvl w:val="0"/>
          <w:numId w:val="7"/>
        </w:numPr>
        <w:jc w:val="both"/>
        <w:rPr>
          <w:rFonts w:ascii="Arial" w:hAnsi="Arial" w:cs="Arial"/>
          <w:color w:val="auto"/>
          <w:sz w:val="22"/>
          <w:szCs w:val="22"/>
        </w:rPr>
      </w:pPr>
      <w:r>
        <w:rPr>
          <w:rFonts w:cs="Arial" w:ascii="Arial" w:hAnsi="Arial"/>
          <w:sz w:val="22"/>
          <w:szCs w:val="22"/>
        </w:rPr>
        <w:t xml:space="preserve">pieniądzu, przelewem na numer rachunku bankowego </w:t>
      </w:r>
      <w:r>
        <w:rPr>
          <w:rFonts w:ascii="Helvetica Neue" w:hAnsi="Helvetica Neue"/>
          <w:b/>
          <w:bCs/>
          <w:color w:val="222222"/>
          <w:sz w:val="20"/>
          <w:szCs w:val="20"/>
          <w:shd w:fill="FFFFFF" w:val="clear"/>
        </w:rPr>
        <w:t>25 1130 1091 0003 9146 4520 0004</w:t>
      </w:r>
      <w:r>
        <w:rPr>
          <w:rFonts w:cs="Arial" w:ascii="Arial" w:hAnsi="Arial"/>
          <w:sz w:val="22"/>
          <w:szCs w:val="22"/>
        </w:rPr>
        <w:br/>
        <w:t xml:space="preserve">Wadium w tej formie uważa się za wniesione w sposób prawidłowy, gdy środki pieniężne wpłyną na konto Zamawiającego przed </w:t>
      </w:r>
      <w:r>
        <w:rPr>
          <w:rFonts w:cs="Arial" w:ascii="Arial" w:hAnsi="Arial"/>
          <w:color w:val="auto"/>
          <w:sz w:val="22"/>
          <w:szCs w:val="22"/>
        </w:rPr>
        <w:t>upływem terminu składnia ofert.</w:t>
      </w:r>
    </w:p>
    <w:p>
      <w:pPr>
        <w:pStyle w:val="Default"/>
        <w:numPr>
          <w:ilvl w:val="0"/>
          <w:numId w:val="7"/>
        </w:numPr>
        <w:jc w:val="both"/>
        <w:rPr>
          <w:rFonts w:ascii="Arial" w:hAnsi="Arial" w:cs="Arial"/>
          <w:color w:val="auto"/>
          <w:sz w:val="22"/>
          <w:szCs w:val="22"/>
        </w:rPr>
      </w:pPr>
      <w:r>
        <w:rPr>
          <w:rFonts w:cs="Arial" w:ascii="Arial" w:hAnsi="Arial"/>
          <w:color w:val="auto"/>
          <w:sz w:val="22"/>
          <w:szCs w:val="22"/>
        </w:rPr>
        <w:t>gwarancjach bankowych;</w:t>
      </w:r>
    </w:p>
    <w:p>
      <w:pPr>
        <w:pStyle w:val="Default"/>
        <w:numPr>
          <w:ilvl w:val="0"/>
          <w:numId w:val="7"/>
        </w:numPr>
        <w:jc w:val="both"/>
        <w:rPr>
          <w:rFonts w:ascii="Arial" w:hAnsi="Arial" w:cs="Arial"/>
          <w:color w:val="auto"/>
          <w:sz w:val="22"/>
          <w:szCs w:val="22"/>
        </w:rPr>
      </w:pPr>
      <w:r>
        <w:rPr>
          <w:rFonts w:cs="Arial" w:ascii="Arial" w:hAnsi="Arial"/>
          <w:color w:val="auto"/>
          <w:sz w:val="22"/>
          <w:szCs w:val="22"/>
        </w:rPr>
        <w:t>gwarancjach ubezpieczeniowych;</w:t>
      </w:r>
    </w:p>
    <w:p>
      <w:pPr>
        <w:pStyle w:val="Default"/>
        <w:numPr>
          <w:ilvl w:val="0"/>
          <w:numId w:val="7"/>
        </w:numPr>
        <w:jc w:val="both"/>
        <w:rPr>
          <w:rFonts w:ascii="Arial" w:hAnsi="Arial" w:cs="Arial"/>
          <w:sz w:val="22"/>
          <w:szCs w:val="22"/>
        </w:rPr>
      </w:pPr>
      <w:r>
        <w:rPr>
          <w:rFonts w:cs="Arial" w:ascii="Arial" w:hAnsi="Arial"/>
          <w:sz w:val="22"/>
          <w:szCs w:val="22"/>
        </w:rPr>
        <w:t>poręczeniach udzielanych przez podmioty, o których mowa w art. 6b ust. 5 pkt 2 ustawy z dnia 9 listopada 2000 r. o utworzeniu Polskiej Agencji Rozwoju Przedsiębiorczości (Dz. U. z 2020 r. poz. 299 oraz z 2022 r. poz. 807 i 1079).</w:t>
      </w:r>
    </w:p>
    <w:p>
      <w:pPr>
        <w:pStyle w:val="Default"/>
        <w:ind w:left="426"/>
        <w:jc w:val="both"/>
        <w:rPr>
          <w:rFonts w:ascii="Arial" w:hAnsi="Arial" w:cs="Arial"/>
          <w:sz w:val="22"/>
          <w:szCs w:val="22"/>
        </w:rPr>
      </w:pPr>
      <w:r>
        <w:rPr>
          <w:rFonts w:cs="Arial" w:ascii="Arial" w:hAnsi="Arial"/>
          <w:sz w:val="22"/>
          <w:szCs w:val="22"/>
        </w:rPr>
        <w:t>Jeżeli wadium jest wnoszone w formie gwarancji lub poręczenia, o których mowa w ppkt 2–4 powyżej, wykonawca przekazuje zamawiającemu oryginał gwarancji lub poręczenia, w postaci elektronicznej. Wadium wnoszone w tej formie należy złożyć wraz z ofertą poprzez Platformę Zakupową w wydzielonym, odrębnym pliku.</w:t>
      </w:r>
    </w:p>
    <w:p>
      <w:pPr>
        <w:pStyle w:val="Default"/>
        <w:ind w:left="426"/>
        <w:jc w:val="both"/>
        <w:rPr>
          <w:rFonts w:ascii="Arial" w:hAnsi="Arial" w:cs="Arial"/>
          <w:sz w:val="22"/>
          <w:szCs w:val="22"/>
        </w:rPr>
      </w:pPr>
      <w:r>
        <w:rPr>
          <w:rFonts w:cs="Arial" w:ascii="Arial" w:hAnsi="Arial"/>
          <w:sz w:val="22"/>
          <w:szCs w:val="22"/>
        </w:rPr>
        <w:t>Treść dokumentu wadialnego musi zapewniać możliwość zaspokojenia interesów Zamawiającego - uzyskanie zagwarantowanej zapłaty wadium musi obejmować wszystkie wskazane w art. 98 ust. 6 ustawy Pzp przesłanki zatrzymania wadium.</w:t>
      </w:r>
    </w:p>
    <w:p>
      <w:pPr>
        <w:pStyle w:val="Default"/>
        <w:ind w:left="426"/>
        <w:jc w:val="both"/>
        <w:rPr>
          <w:rFonts w:ascii="Arial" w:hAnsi="Arial" w:cs="Arial"/>
          <w:sz w:val="22"/>
          <w:szCs w:val="22"/>
        </w:rPr>
      </w:pPr>
      <w:r>
        <w:rPr>
          <w:rFonts w:cs="Arial" w:ascii="Arial" w:hAnsi="Arial"/>
          <w:sz w:val="22"/>
          <w:szCs w:val="22"/>
        </w:rPr>
        <w:t>Dopuszcza się, aby wadium zostało wniesione przez pełnomocnika (lidera) lub jednego z Wykonawców wspólnie ubiegających się o udzielenie zamówienia.</w:t>
      </w:r>
    </w:p>
    <w:p>
      <w:pPr>
        <w:pStyle w:val="Default"/>
        <w:ind w:left="426"/>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zwraca wadium niezwłocznie, nie później jednak niż w terminie 7 dni od dnia wystąpienia jednej z okoliczności wskazanych w art. 98 ust. 1 pkt 1-3 ustawy Pzp.</w:t>
      </w:r>
    </w:p>
    <w:p>
      <w:pPr>
        <w:pStyle w:val="Default"/>
        <w:ind w:left="426"/>
        <w:jc w:val="both"/>
        <w:rPr>
          <w:rFonts w:ascii="Arial" w:hAnsi="Arial" w:cs="Arial"/>
          <w:sz w:val="22"/>
          <w:szCs w:val="22"/>
        </w:rPr>
      </w:pPr>
      <w:r>
        <w:rPr>
          <w:rFonts w:cs="Arial" w:ascii="Arial" w:hAnsi="Arial"/>
          <w:sz w:val="22"/>
          <w:szCs w:val="22"/>
        </w:rPr>
        <w:t>Zamawiający, niezwłocznie, nie później jednak niż w terminie 7 dni od dnia złożenia wniosku zwraca wadium Wykonawcy:</w:t>
      </w:r>
    </w:p>
    <w:p>
      <w:pPr>
        <w:pStyle w:val="Default"/>
        <w:ind w:hanging="426" w:left="852"/>
        <w:jc w:val="both"/>
        <w:rPr>
          <w:rFonts w:ascii="Arial" w:hAnsi="Arial" w:cs="Arial"/>
          <w:sz w:val="22"/>
          <w:szCs w:val="22"/>
        </w:rPr>
      </w:pPr>
      <w:r>
        <w:rPr>
          <w:rFonts w:cs="Arial" w:ascii="Arial" w:hAnsi="Arial"/>
          <w:sz w:val="22"/>
          <w:szCs w:val="22"/>
        </w:rPr>
        <w:t>1)</w:t>
        <w:tab/>
        <w:t>który wycofał ofertę przed upływem terminu składania ofert;</w:t>
      </w:r>
    </w:p>
    <w:p>
      <w:pPr>
        <w:pStyle w:val="Default"/>
        <w:ind w:hanging="426" w:left="852"/>
        <w:jc w:val="both"/>
        <w:rPr>
          <w:rFonts w:ascii="Arial" w:hAnsi="Arial" w:cs="Arial"/>
          <w:sz w:val="22"/>
          <w:szCs w:val="22"/>
        </w:rPr>
      </w:pPr>
      <w:r>
        <w:rPr>
          <w:rFonts w:cs="Arial" w:ascii="Arial" w:hAnsi="Arial"/>
          <w:sz w:val="22"/>
          <w:szCs w:val="22"/>
        </w:rPr>
        <w:t>2)</w:t>
        <w:tab/>
        <w:t>którego oferta została odrzucona;</w:t>
      </w:r>
    </w:p>
    <w:p>
      <w:pPr>
        <w:pStyle w:val="Default"/>
        <w:ind w:hanging="426" w:left="852"/>
        <w:jc w:val="both"/>
        <w:rPr>
          <w:rFonts w:ascii="Arial" w:hAnsi="Arial" w:cs="Arial"/>
          <w:sz w:val="22"/>
          <w:szCs w:val="22"/>
        </w:rPr>
      </w:pPr>
      <w:r>
        <w:rPr>
          <w:rFonts w:cs="Arial" w:ascii="Arial" w:hAnsi="Arial"/>
          <w:sz w:val="22"/>
          <w:szCs w:val="22"/>
        </w:rPr>
        <w:t>3)</w:t>
        <w:tab/>
        <w:t>po wyborze najkorzystniejszej oferty, z wyjątkiem Wykonawcy, którego oferta została wybrana jako najkorzystniejsza;</w:t>
      </w:r>
    </w:p>
    <w:p>
      <w:pPr>
        <w:pStyle w:val="Default"/>
        <w:ind w:hanging="426" w:left="852"/>
        <w:jc w:val="both"/>
        <w:rPr>
          <w:rFonts w:ascii="Arial" w:hAnsi="Arial" w:cs="Arial"/>
          <w:sz w:val="22"/>
          <w:szCs w:val="22"/>
        </w:rPr>
      </w:pPr>
      <w:r>
        <w:rPr>
          <w:rFonts w:cs="Arial" w:ascii="Arial" w:hAnsi="Arial"/>
          <w:sz w:val="22"/>
          <w:szCs w:val="22"/>
        </w:rPr>
        <w:t>4)</w:t>
        <w:tab/>
        <w:t>po unieważnieniu postępowania, w przypadku gdy nie zostało rozstrzygnięte odwołanie na czynność unieważnienia albo nie upłynął termin do jego wniesienia.</w:t>
      </w:r>
    </w:p>
    <w:p>
      <w:pPr>
        <w:pStyle w:val="Default"/>
        <w:ind w:left="426"/>
        <w:jc w:val="both"/>
        <w:rPr>
          <w:rFonts w:ascii="Arial" w:hAnsi="Arial" w:cs="Arial"/>
          <w:sz w:val="22"/>
          <w:szCs w:val="22"/>
        </w:rPr>
      </w:pPr>
      <w:r>
        <w:rPr>
          <w:rFonts w:cs="Arial" w:ascii="Arial" w:hAnsi="Arial"/>
          <w:sz w:val="22"/>
          <w:szCs w:val="22"/>
        </w:rPr>
        <w:t>Złożenie wniosku o zwrot wadium, powoduje rozwiązanie stosunku prawnego z Wykonawcą wraz z utratą przez niego prawa do korzystania ze środków ochrony prawnej, o których mowa w ustawie Pzp i SWZ.</w:t>
      </w:r>
    </w:p>
    <w:p>
      <w:pPr>
        <w:pStyle w:val="Default"/>
        <w:ind w:hanging="426" w:left="852"/>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Zamawiający zatrzymuje wadium wraz z odsetkami, a w przypadku wadium wniesionego w formie</w:t>
      </w:r>
      <w:r>
        <w:rPr/>
        <w:t xml:space="preserve"> </w:t>
      </w:r>
      <w:r>
        <w:rPr>
          <w:rFonts w:cs="Arial" w:ascii="Arial" w:hAnsi="Arial"/>
          <w:sz w:val="22"/>
          <w:szCs w:val="22"/>
        </w:rPr>
        <w:t>gwarancji lub poręczenia, występuje odpowiednio do gwaranta lub poręczyciela z żądaniem zapłaty wadium, jeżeli:</w:t>
      </w:r>
    </w:p>
    <w:p>
      <w:pPr>
        <w:pStyle w:val="Default"/>
        <w:ind w:hanging="426" w:left="852"/>
        <w:jc w:val="both"/>
        <w:rPr>
          <w:rFonts w:ascii="Arial" w:hAnsi="Arial" w:cs="Arial"/>
          <w:sz w:val="22"/>
          <w:szCs w:val="22"/>
        </w:rPr>
      </w:pPr>
      <w:r>
        <w:rPr>
          <w:rFonts w:cs="Arial" w:ascii="Arial" w:hAnsi="Arial"/>
          <w:sz w:val="22"/>
          <w:szCs w:val="22"/>
        </w:rPr>
        <w:t>1)</w:t>
        <w:tab/>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pPr>
        <w:pStyle w:val="Default"/>
        <w:ind w:hanging="426" w:left="852"/>
        <w:jc w:val="both"/>
        <w:rPr>
          <w:rFonts w:ascii="Arial" w:hAnsi="Arial" w:cs="Arial"/>
          <w:sz w:val="22"/>
          <w:szCs w:val="22"/>
        </w:rPr>
      </w:pPr>
      <w:r>
        <w:rPr>
          <w:rFonts w:cs="Arial" w:ascii="Arial" w:hAnsi="Arial"/>
          <w:sz w:val="22"/>
          <w:szCs w:val="22"/>
        </w:rPr>
        <w:t>2)</w:t>
        <w:tab/>
        <w:t>Wykonawca, którego oferta została wybrana:</w:t>
      </w:r>
    </w:p>
    <w:p>
      <w:pPr>
        <w:pStyle w:val="Default"/>
        <w:ind w:hanging="426" w:left="1276"/>
        <w:jc w:val="both"/>
        <w:rPr>
          <w:rFonts w:ascii="Arial" w:hAnsi="Arial" w:cs="Arial"/>
          <w:sz w:val="22"/>
          <w:szCs w:val="22"/>
        </w:rPr>
      </w:pPr>
      <w:r>
        <w:rPr>
          <w:rFonts w:cs="Arial" w:ascii="Arial" w:hAnsi="Arial"/>
          <w:sz w:val="22"/>
          <w:szCs w:val="22"/>
        </w:rPr>
        <w:t>a)</w:t>
        <w:tab/>
        <w:t>odmówił podpisania umowy w sprawie zamówienia publicznego na warunkach określonych w ofercie;</w:t>
      </w:r>
    </w:p>
    <w:p>
      <w:pPr>
        <w:pStyle w:val="Default"/>
        <w:ind w:hanging="426" w:left="1276"/>
        <w:jc w:val="both"/>
        <w:rPr>
          <w:rFonts w:ascii="Arial" w:hAnsi="Arial" w:cs="Arial"/>
          <w:sz w:val="22"/>
          <w:szCs w:val="22"/>
        </w:rPr>
      </w:pPr>
      <w:r>
        <w:rPr>
          <w:rFonts w:cs="Arial" w:ascii="Arial" w:hAnsi="Arial"/>
          <w:sz w:val="22"/>
          <w:szCs w:val="22"/>
        </w:rPr>
        <w:t>b)</w:t>
        <w:tab/>
        <w:t>nie wniósł wymaganego zabezpieczenia należytego wykonania umowy;</w:t>
      </w:r>
    </w:p>
    <w:p>
      <w:pPr>
        <w:pStyle w:val="Default"/>
        <w:ind w:hanging="426" w:left="852"/>
        <w:jc w:val="both"/>
        <w:rPr>
          <w:rFonts w:ascii="Arial" w:hAnsi="Arial" w:cs="Arial"/>
          <w:sz w:val="22"/>
          <w:szCs w:val="22"/>
        </w:rPr>
      </w:pPr>
      <w:r>
        <w:rPr>
          <w:rFonts w:cs="Arial" w:ascii="Arial" w:hAnsi="Arial"/>
          <w:sz w:val="22"/>
          <w:szCs w:val="22"/>
        </w:rPr>
        <w:t>3)</w:t>
        <w:tab/>
        <w:t>Zawarcie umowy w sprawie zamówienia publicznego stało się niemożliwe z przyczyn leżących po stronie Wykonawcy</w:t>
      </w:r>
      <w:r>
        <w:rPr/>
        <w:t xml:space="preserve"> </w:t>
      </w:r>
      <w:r>
        <w:rPr>
          <w:rFonts w:cs="Arial" w:ascii="Arial" w:hAnsi="Arial"/>
          <w:sz w:val="22"/>
          <w:szCs w:val="22"/>
        </w:rPr>
        <w:t>którego oferta została wybrana.</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Opis sposobu przygotowania oferty:</w:t>
      </w:r>
    </w:p>
    <w:p>
      <w:pPr>
        <w:pStyle w:val="Default"/>
        <w:numPr>
          <w:ilvl w:val="0"/>
          <w:numId w:val="8"/>
        </w:numPr>
        <w:jc w:val="both"/>
        <w:rPr>
          <w:rFonts w:ascii="Arial" w:hAnsi="Arial" w:cs="Arial"/>
          <w:sz w:val="22"/>
          <w:szCs w:val="22"/>
        </w:rPr>
      </w:pPr>
      <w:r>
        <w:rPr>
          <w:rFonts w:cs="Arial" w:ascii="Arial" w:hAnsi="Arial"/>
          <w:sz w:val="22"/>
          <w:szCs w:val="22"/>
        </w:rPr>
        <w:t>Oferta musi obejmować całość przedmiotu zamówienia i być sporządzona w języku polskim zgodnie z wymogami niniejszej SWZ.</w:t>
      </w:r>
    </w:p>
    <w:p>
      <w:pPr>
        <w:pStyle w:val="Default"/>
        <w:ind w:left="846"/>
        <w:jc w:val="both"/>
        <w:rPr>
          <w:rFonts w:ascii="Arial" w:hAnsi="Arial" w:cs="Arial"/>
          <w:color w:val="auto"/>
          <w:sz w:val="22"/>
          <w:szCs w:val="22"/>
        </w:rPr>
      </w:pPr>
      <w:r>
        <w:rPr>
          <w:rFonts w:cs="Arial" w:ascii="Arial" w:hAnsi="Arial"/>
          <w:sz w:val="22"/>
          <w:szCs w:val="22"/>
        </w:rPr>
        <w:t xml:space="preserve">Ofertę należy sporządzić na </w:t>
      </w:r>
      <w:r>
        <w:rPr>
          <w:rFonts w:cs="Arial" w:ascii="Arial" w:hAnsi="Arial"/>
          <w:color w:val="auto"/>
          <w:sz w:val="22"/>
          <w:szCs w:val="22"/>
        </w:rPr>
        <w:t xml:space="preserve">Formularzu oferty stanowiącym </w:t>
      </w:r>
      <w:r>
        <w:rPr>
          <w:rFonts w:cs="Arial" w:ascii="Arial" w:hAnsi="Arial"/>
          <w:b/>
          <w:color w:val="auto"/>
          <w:sz w:val="22"/>
          <w:szCs w:val="22"/>
        </w:rPr>
        <w:t>załącznik nr 2 do SWZ</w:t>
      </w:r>
      <w:r>
        <w:rPr>
          <w:rFonts w:cs="Arial" w:ascii="Arial" w:hAnsi="Arial"/>
          <w:color w:val="auto"/>
          <w:sz w:val="22"/>
          <w:szCs w:val="22"/>
        </w:rPr>
        <w:t xml:space="preserve"> lub zgodnie ze wzorem ww. Formularza oferty.</w:t>
      </w:r>
    </w:p>
    <w:p>
      <w:pPr>
        <w:pStyle w:val="Default"/>
        <w:ind w:left="846"/>
        <w:jc w:val="both"/>
        <w:rPr>
          <w:rFonts w:ascii="Arial" w:hAnsi="Arial" w:cs="Arial"/>
          <w:color w:val="auto"/>
          <w:sz w:val="22"/>
        </w:rPr>
      </w:pPr>
      <w:r>
        <w:rPr>
          <w:rFonts w:cs="Arial" w:ascii="Arial" w:hAnsi="Arial"/>
          <w:color w:val="auto"/>
          <w:sz w:val="22"/>
        </w:rPr>
        <w:t>Treść pól aktywnego formularza Platformy uzupełnianych przez Wykonawcę w toku składania oferty poprzez Platformę nie stanowią oferty w rozumieniu ustawy Pzp. Automatyczne komunikaty Platformy nie stanowią czynności Zamawiającego w rozumieniu Pzp.</w:t>
      </w:r>
    </w:p>
    <w:p>
      <w:pPr>
        <w:pStyle w:val="Default"/>
        <w:numPr>
          <w:ilvl w:val="0"/>
          <w:numId w:val="8"/>
        </w:numPr>
        <w:jc w:val="both"/>
        <w:rPr>
          <w:rFonts w:ascii="Arial" w:hAnsi="Arial" w:cs="Arial"/>
          <w:color w:val="auto"/>
          <w:sz w:val="22"/>
          <w:szCs w:val="22"/>
        </w:rPr>
      </w:pPr>
      <w:r>
        <w:rPr>
          <w:rFonts w:cs="Arial" w:ascii="Arial" w:hAnsi="Arial"/>
          <w:color w:val="auto"/>
          <w:sz w:val="22"/>
          <w:szCs w:val="22"/>
        </w:rPr>
        <w:t>Wraz z ofertą należy złożyć:</w:t>
      </w:r>
    </w:p>
    <w:p>
      <w:pPr>
        <w:pStyle w:val="Default"/>
        <w:numPr>
          <w:ilvl w:val="0"/>
          <w:numId w:val="9"/>
        </w:numPr>
        <w:jc w:val="both"/>
        <w:rPr>
          <w:rFonts w:ascii="Arial" w:hAnsi="Arial" w:cs="Arial"/>
          <w:sz w:val="22"/>
          <w:szCs w:val="22"/>
        </w:rPr>
      </w:pPr>
      <w:r>
        <w:rPr>
          <w:rFonts w:cs="Arial" w:ascii="Arial" w:hAnsi="Arial"/>
          <w:color w:val="auto"/>
          <w:sz w:val="22"/>
          <w:szCs w:val="22"/>
        </w:rPr>
        <w:t xml:space="preserve">Oświadczenie, o którym mowa w art. 125 ust. 1 ustawy Pzp, o niepodleganiu wykluczeniu z postępowania oraz spełnianiu warunków udziału w postępowaniu, zgodnie z </w:t>
      </w:r>
      <w:r>
        <w:rPr>
          <w:rFonts w:cs="Arial" w:ascii="Arial" w:hAnsi="Arial"/>
          <w:b/>
          <w:color w:val="auto"/>
          <w:sz w:val="22"/>
          <w:szCs w:val="22"/>
        </w:rPr>
        <w:t>załącznikiem nr 4 do SWZ,</w:t>
      </w:r>
      <w:r>
        <w:rPr>
          <w:rFonts w:cs="Arial" w:ascii="Arial" w:hAnsi="Arial"/>
          <w:color w:val="auto"/>
          <w:sz w:val="22"/>
          <w:szCs w:val="22"/>
        </w:rPr>
        <w:t xml:space="preserve"> dotyczące </w:t>
      </w:r>
      <w:r>
        <w:rPr>
          <w:rFonts w:cs="Arial" w:ascii="Arial" w:hAnsi="Arial"/>
          <w:sz w:val="22"/>
          <w:szCs w:val="22"/>
        </w:rPr>
        <w:t>odpowiednio:</w:t>
      </w:r>
    </w:p>
    <w:p>
      <w:pPr>
        <w:pStyle w:val="Default"/>
        <w:numPr>
          <w:ilvl w:val="0"/>
          <w:numId w:val="15"/>
        </w:numPr>
        <w:ind w:hanging="425" w:left="1701"/>
        <w:jc w:val="both"/>
        <w:rPr>
          <w:rFonts w:ascii="Arial" w:hAnsi="Arial" w:cs="Arial"/>
          <w:sz w:val="22"/>
          <w:szCs w:val="22"/>
        </w:rPr>
      </w:pPr>
      <w:r>
        <w:rPr>
          <w:rFonts w:cs="Arial" w:ascii="Arial" w:hAnsi="Arial"/>
          <w:sz w:val="22"/>
          <w:szCs w:val="22"/>
        </w:rPr>
        <w:t>wykonawcy;</w:t>
      </w:r>
    </w:p>
    <w:p>
      <w:pPr>
        <w:pStyle w:val="Default"/>
        <w:numPr>
          <w:ilvl w:val="0"/>
          <w:numId w:val="15"/>
        </w:numPr>
        <w:ind w:hanging="425" w:left="1701"/>
        <w:jc w:val="both"/>
        <w:rPr>
          <w:rFonts w:ascii="Arial" w:hAnsi="Arial" w:cs="Arial"/>
          <w:color w:val="auto"/>
          <w:sz w:val="22"/>
          <w:szCs w:val="22"/>
        </w:rPr>
      </w:pPr>
      <w:r>
        <w:rPr>
          <w:rFonts w:cs="Arial" w:ascii="Arial" w:hAnsi="Arial"/>
          <w:sz w:val="22"/>
          <w:szCs w:val="22"/>
        </w:rPr>
        <w:t>każdego ze wspólników – w przypadku składania oferty wspólnej (konsorcjum, spółka cywilna);</w:t>
      </w:r>
    </w:p>
    <w:p>
      <w:pPr>
        <w:pStyle w:val="Default"/>
        <w:numPr>
          <w:ilvl w:val="0"/>
          <w:numId w:val="15"/>
        </w:numPr>
        <w:ind w:hanging="425" w:left="1701"/>
        <w:jc w:val="both"/>
        <w:rPr>
          <w:rFonts w:ascii="Arial" w:hAnsi="Arial" w:cs="Arial"/>
          <w:color w:val="auto"/>
          <w:sz w:val="22"/>
          <w:szCs w:val="22"/>
        </w:rPr>
      </w:pPr>
      <w:r>
        <w:rPr>
          <w:rFonts w:cs="Arial" w:ascii="Arial" w:hAnsi="Arial"/>
          <w:color w:val="auto"/>
          <w:sz w:val="22"/>
          <w:szCs w:val="22"/>
        </w:rPr>
        <w:t>podmiotów udostępniających zasoby, na które powołuje się Wykonawca w celu spełnienia warunków udziału w postępowaniu.</w:t>
      </w:r>
    </w:p>
    <w:p>
      <w:pPr>
        <w:pStyle w:val="Default"/>
        <w:ind w:left="1270"/>
        <w:jc w:val="both"/>
        <w:rPr>
          <w:rFonts w:ascii="Arial" w:hAnsi="Arial" w:cs="Arial"/>
          <w:color w:val="auto"/>
          <w:sz w:val="22"/>
          <w:szCs w:val="22"/>
        </w:rPr>
      </w:pPr>
      <w:r>
        <w:rPr>
          <w:rFonts w:cs="Arial" w:ascii="Arial" w:hAnsi="Arial"/>
          <w:color w:val="auto"/>
          <w:sz w:val="22"/>
          <w:szCs w:val="22"/>
        </w:rPr>
        <w:t>Oświadczenie stanowi dowód potwierdzający brak podstaw wykluczenia, na podstawie przesłanek o których mowa w pkt 25 SWZ oraz spełniania warunków udziału w postępowaniu na dzień składania ofert, tymczasowo zastępujący wymagane przez Zamawiającego podmiotowe środki dowodowe, wskazane w SWZ.</w:t>
      </w:r>
    </w:p>
    <w:p>
      <w:pPr>
        <w:pStyle w:val="Default"/>
        <w:ind w:left="1270"/>
        <w:jc w:val="both"/>
        <w:rPr>
          <w:rFonts w:ascii="Arial" w:hAnsi="Arial" w:cs="Arial"/>
          <w:color w:val="auto"/>
          <w:sz w:val="22"/>
          <w:szCs w:val="22"/>
        </w:rPr>
      </w:pPr>
      <w:r>
        <w:rPr>
          <w:rFonts w:cs="Arial" w:ascii="Arial" w:hAnsi="Arial"/>
          <w:color w:val="auto"/>
          <w:sz w:val="22"/>
          <w:szCs w:val="22"/>
        </w:rPr>
        <w:t xml:space="preserve">W przypadku wspólnego ubiegania się o zamówienie przez wykonawców, oświadczenie, </w:t>
      </w:r>
      <w:r>
        <w:rPr>
          <w:rFonts w:cs="Arial" w:ascii="Arial" w:hAnsi="Arial"/>
          <w:sz w:val="22"/>
        </w:rPr>
        <w:t>o którym mowa w art. 125 ust. 1 ustawy Pzp,</w:t>
      </w:r>
      <w:r>
        <w:rPr>
          <w:rFonts w:cs="Arial" w:ascii="Arial" w:hAnsi="Arial"/>
          <w:color w:val="auto"/>
          <w:sz w:val="22"/>
          <w:szCs w:val="22"/>
        </w:rPr>
        <w:t xml:space="preserve"> składa każdy z wykonawców. Oświadczenia te potwierdzają brak podstaw wykluczenia oraz spełnianie warunków udziału w postępowaniu w zakresie, w jakim każdy z wykonawców wykazuje spełnianie warunków udziału w postępowaniu.</w:t>
      </w:r>
    </w:p>
    <w:p>
      <w:pPr>
        <w:pStyle w:val="Default"/>
        <w:ind w:left="1270"/>
        <w:jc w:val="both"/>
        <w:rPr>
          <w:rFonts w:ascii="Arial" w:hAnsi="Arial" w:cs="Arial"/>
          <w:color w:val="auto"/>
          <w:sz w:val="22"/>
          <w:szCs w:val="22"/>
        </w:rPr>
      </w:pPr>
      <w:r>
        <w:rPr>
          <w:rFonts w:cs="Arial" w:ascii="Arial" w:hAnsi="Arial"/>
          <w:color w:val="auto"/>
          <w:sz w:val="22"/>
          <w:szCs w:val="22"/>
        </w:rPr>
        <w:t xml:space="preserve">Wykonawca, w przypadku polegania na zdolnościach lub sytuacji podmiotów udostępniających zasoby, przedstawia, wraz z oświadczeniem, </w:t>
      </w:r>
      <w:r>
        <w:rPr>
          <w:rFonts w:cs="Arial" w:ascii="Arial" w:hAnsi="Arial"/>
          <w:sz w:val="22"/>
        </w:rPr>
        <w:t>o którym mowa w art. 125 ust. 1 ustawy Pzp</w:t>
      </w:r>
      <w:r>
        <w:rPr>
          <w:rFonts w:cs="Arial" w:ascii="Arial" w:hAnsi="Arial"/>
          <w:color w:val="auto"/>
          <w:sz w:val="22"/>
          <w:szCs w:val="22"/>
        </w:rPr>
        <w:t>, także oświadczenie podmiotu udostępniającego zasoby, potwierdzające brak podstaw wykluczenia tego podmiotu oraz odpowiednio spełnianie warunków udziału w postępowaniu, w zakresie, w jakim wykonawca powołuje się na jego zasoby.</w:t>
      </w:r>
    </w:p>
    <w:p>
      <w:pPr>
        <w:pStyle w:val="Default"/>
        <w:numPr>
          <w:ilvl w:val="0"/>
          <w:numId w:val="9"/>
        </w:numPr>
        <w:jc w:val="both"/>
        <w:rPr>
          <w:rFonts w:ascii="Arial" w:hAnsi="Arial" w:cs="Arial"/>
          <w:color w:val="auto"/>
          <w:sz w:val="22"/>
          <w:szCs w:val="22"/>
        </w:rPr>
      </w:pPr>
      <w:r>
        <w:rPr>
          <w:rFonts w:cs="Arial" w:ascii="Arial" w:hAnsi="Arial"/>
          <w:color w:val="auto"/>
          <w:sz w:val="22"/>
          <w:szCs w:val="22"/>
        </w:rPr>
        <w:t>Pełnomocnictwo ustanowione do reprezentowania Wykonawcy/ów ubiegającego/cych się o udzielenie zamówienia publicznego (jeżeli dotyczy).</w:t>
      </w:r>
    </w:p>
    <w:p>
      <w:pPr>
        <w:pStyle w:val="Default"/>
        <w:ind w:left="1270"/>
        <w:jc w:val="both"/>
        <w:rPr>
          <w:rFonts w:ascii="Arial" w:hAnsi="Arial" w:cs="Arial"/>
          <w:color w:val="auto"/>
          <w:sz w:val="22"/>
          <w:szCs w:val="22"/>
        </w:rPr>
      </w:pPr>
      <w:r>
        <w:rPr>
          <w:rFonts w:cs="Arial" w:ascii="Arial" w:hAnsi="Arial"/>
          <w:color w:val="auto"/>
          <w:sz w:val="22"/>
          <w:szCs w:val="22"/>
        </w:rPr>
        <w:t>Oferta musi być podpisana przez osobę/y upoważnioną/e do reprezentowania Wykonawcy. Upoważnienie (pełnomocnictwo) do podpisania oferty, do poświadczania dokumentów za zgodność z oryginałem należy dołączyć do oferty, o ile to upoważnienie (pełnomocnictwo) nie wynika z dokumentów rejestrowych Wykonawcy (stwierdzających status prawny wykonawcy), których Zamawiający nie może uzyskać za pomocą bezpłatnych i ogólnodostępnych baz danych.</w:t>
      </w:r>
    </w:p>
    <w:p>
      <w:pPr>
        <w:pStyle w:val="Default"/>
        <w:ind w:left="1270"/>
        <w:jc w:val="both"/>
        <w:rPr>
          <w:rFonts w:ascii="Arial" w:hAnsi="Arial" w:cs="Arial"/>
          <w:color w:val="auto"/>
          <w:sz w:val="22"/>
          <w:szCs w:val="22"/>
        </w:rPr>
      </w:pPr>
      <w:r>
        <w:rPr>
          <w:rFonts w:cs="Arial" w:ascii="Arial" w:hAnsi="Arial"/>
          <w:color w:val="auto"/>
          <w:sz w:val="22"/>
          <w:szCs w:val="22"/>
        </w:rPr>
        <w:t>Wykonawcy, zgodnie z art. 58 ust. 1 ustawy Pzp, mogą wspólnie ubiegać się o udzielenie zamówienia (tzw. konsorcjum). W takim przypadku, wykonawcy ustanawiają pełnomocnika do reprezentowania ich w postępowaniu o udzielenie zamówienia albo do reprezentowania w postępowaniu i zawarcia umowy w sprawie zamówienia publicznego.</w:t>
      </w:r>
    </w:p>
    <w:p>
      <w:pPr>
        <w:pStyle w:val="Default"/>
        <w:ind w:left="1270"/>
        <w:jc w:val="both"/>
        <w:rPr>
          <w:rFonts w:ascii="Arial" w:hAnsi="Arial" w:cs="Arial"/>
          <w:sz w:val="22"/>
          <w:szCs w:val="22"/>
        </w:rPr>
      </w:pPr>
      <w:r>
        <w:rPr>
          <w:rFonts w:cs="Arial" w:ascii="Arial" w:hAnsi="Arial"/>
          <w:color w:val="auto"/>
          <w:sz w:val="22"/>
          <w:szCs w:val="22"/>
        </w:rPr>
        <w:t>Do oferty należy dołączyć stosowne pełnomocnictwo</w:t>
      </w:r>
      <w:r>
        <w:rPr>
          <w:rFonts w:cs="Arial" w:ascii="Arial" w:hAnsi="Arial"/>
          <w:sz w:val="22"/>
          <w:szCs w:val="22"/>
        </w:rPr>
        <w:t>, podpisane przez osoby upoważnione do składania oświadczeń woli każdego z Wykonawców.</w:t>
      </w:r>
    </w:p>
    <w:p>
      <w:pPr>
        <w:pStyle w:val="Default"/>
        <w:ind w:left="1270"/>
        <w:jc w:val="both"/>
        <w:rPr>
          <w:rFonts w:ascii="Arial" w:hAnsi="Arial" w:cs="Arial"/>
          <w:sz w:val="22"/>
        </w:rPr>
      </w:pPr>
      <w:r>
        <w:rPr>
          <w:rFonts w:cs="Arial" w:ascii="Arial" w:hAnsi="Arial"/>
          <w:sz w:val="22"/>
        </w:rPr>
        <w:t>Wszelka korespondencja prowadzona będzie wyłącznie z podmiotem występującym jako pełnomocnik Wykonawców wspólnie ubiegających się o udzielenie zamówienia.</w:t>
      </w:r>
    </w:p>
    <w:p>
      <w:pPr>
        <w:pStyle w:val="Default"/>
        <w:numPr>
          <w:ilvl w:val="0"/>
          <w:numId w:val="9"/>
        </w:numPr>
        <w:jc w:val="both"/>
        <w:rPr>
          <w:rFonts w:ascii="Arial" w:hAnsi="Arial" w:cs="Arial"/>
          <w:color w:val="FF0000"/>
          <w:sz w:val="22"/>
          <w:szCs w:val="22"/>
        </w:rPr>
      </w:pPr>
      <w:r>
        <w:rPr>
          <w:rFonts w:cs="Arial" w:ascii="Arial" w:hAnsi="Arial"/>
          <w:sz w:val="22"/>
          <w:szCs w:val="22"/>
        </w:rPr>
        <w:t xml:space="preserve">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(w przypadku, gdy Wykonawca korzysta ze zdolności innych </w:t>
      </w:r>
      <w:r>
        <w:rPr>
          <w:rFonts w:cs="Arial" w:ascii="Arial" w:hAnsi="Arial"/>
          <w:color w:val="auto"/>
          <w:sz w:val="22"/>
          <w:szCs w:val="22"/>
        </w:rPr>
        <w:t xml:space="preserve">podmiotów na zasadach określonych w art. 118 ustawy Pzp – </w:t>
      </w:r>
      <w:r>
        <w:rPr>
          <w:rFonts w:cs="Arial" w:ascii="Arial" w:hAnsi="Arial"/>
          <w:i/>
          <w:color w:val="auto"/>
          <w:sz w:val="22"/>
          <w:szCs w:val="22"/>
        </w:rPr>
        <w:t>jeżeli dotyczy</w:t>
      </w:r>
      <w:r>
        <w:rPr>
          <w:rFonts w:cs="Arial" w:ascii="Arial" w:hAnsi="Arial"/>
          <w:color w:val="auto"/>
          <w:sz w:val="22"/>
          <w:szCs w:val="22"/>
        </w:rPr>
        <w:t xml:space="preserve">) - zgodnie z </w:t>
      </w:r>
      <w:r>
        <w:rPr>
          <w:rFonts w:cs="Arial" w:ascii="Arial" w:hAnsi="Arial"/>
          <w:b/>
          <w:color w:val="auto"/>
          <w:sz w:val="22"/>
          <w:szCs w:val="22"/>
        </w:rPr>
        <w:t>załącznikiem nr 5 do SWZ</w:t>
      </w:r>
      <w:r>
        <w:rPr>
          <w:rFonts w:cs="Arial" w:ascii="Arial" w:hAnsi="Arial"/>
          <w:color w:val="auto"/>
          <w:sz w:val="22"/>
          <w:szCs w:val="22"/>
        </w:rPr>
        <w:t>.</w:t>
      </w:r>
    </w:p>
    <w:p>
      <w:pPr>
        <w:pStyle w:val="Default"/>
        <w:ind w:left="1270"/>
        <w:jc w:val="both"/>
        <w:rPr>
          <w:rFonts w:ascii="Arial" w:hAnsi="Arial" w:cs="Arial"/>
          <w:sz w:val="22"/>
          <w:szCs w:val="22"/>
        </w:rPr>
      </w:pPr>
      <w:r>
        <w:rPr>
          <w:rFonts w:cs="Arial" w:ascii="Arial" w:hAnsi="Arial"/>
          <w:sz w:val="22"/>
          <w:szCs w:val="22"/>
        </w:rPr>
        <w:t>Zgodnie z art. 118 ust. 4 ustawy Pzp zobowiązanie podmiotu udostępniającego zasoby musi potwierdzać, że stosunek łączący wykonawcę z podmiotami udostępniającymi zasoby gwarantuje rzeczywisty dostęp do tych zasobów oraz musi określać w szczególności:</w:t>
      </w:r>
    </w:p>
    <w:p>
      <w:pPr>
        <w:pStyle w:val="Default"/>
        <w:numPr>
          <w:ilvl w:val="0"/>
          <w:numId w:val="16"/>
        </w:numPr>
        <w:ind w:hanging="425" w:left="1701"/>
        <w:jc w:val="both"/>
        <w:rPr>
          <w:rFonts w:ascii="Arial" w:hAnsi="Arial" w:cs="Arial"/>
          <w:sz w:val="22"/>
          <w:szCs w:val="22"/>
        </w:rPr>
      </w:pPr>
      <w:r>
        <w:rPr>
          <w:rFonts w:cs="Arial" w:ascii="Arial" w:hAnsi="Arial"/>
          <w:sz w:val="22"/>
          <w:szCs w:val="22"/>
        </w:rPr>
        <w:t>zakres dostępnych wykonawcy zasobów podmiotu udostępniającego zasoby;</w:t>
      </w:r>
    </w:p>
    <w:p>
      <w:pPr>
        <w:pStyle w:val="Default"/>
        <w:numPr>
          <w:ilvl w:val="0"/>
          <w:numId w:val="16"/>
        </w:numPr>
        <w:ind w:hanging="425" w:left="1701"/>
        <w:jc w:val="both"/>
        <w:rPr>
          <w:rFonts w:ascii="Arial" w:hAnsi="Arial" w:cs="Arial"/>
          <w:sz w:val="22"/>
          <w:szCs w:val="22"/>
        </w:rPr>
      </w:pPr>
      <w:r>
        <w:rPr>
          <w:rFonts w:cs="Arial" w:ascii="Arial" w:hAnsi="Arial"/>
          <w:sz w:val="22"/>
          <w:szCs w:val="22"/>
        </w:rPr>
        <w:t>sposób i okres udostępnienia wykonawcy i wykorzystania przez niego zasobów podmiotu udostępniającego te zasoby przy wykonywaniu zamówienia;</w:t>
      </w:r>
    </w:p>
    <w:p>
      <w:pPr>
        <w:pStyle w:val="Default"/>
        <w:numPr>
          <w:ilvl w:val="0"/>
          <w:numId w:val="16"/>
        </w:numPr>
        <w:ind w:hanging="425" w:left="1701"/>
        <w:jc w:val="both"/>
        <w:rPr>
          <w:rFonts w:ascii="Arial" w:hAnsi="Arial" w:cs="Arial"/>
          <w:sz w:val="22"/>
          <w:szCs w:val="22"/>
        </w:rPr>
      </w:pPr>
      <w:r>
        <w:rPr>
          <w:rFonts w:cs="Arial" w:ascii="Arial" w:hAnsi="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pPr>
        <w:pStyle w:val="Default"/>
        <w:numPr>
          <w:ilvl w:val="0"/>
          <w:numId w:val="9"/>
        </w:numPr>
        <w:jc w:val="both"/>
        <w:rPr>
          <w:rFonts w:ascii="Arial" w:hAnsi="Arial" w:cs="Arial"/>
          <w:color w:val="auto"/>
          <w:sz w:val="22"/>
          <w:szCs w:val="22"/>
        </w:rPr>
      </w:pPr>
      <w:r>
        <w:rPr>
          <w:rFonts w:cs="Arial" w:ascii="Arial" w:hAnsi="Arial"/>
          <w:sz w:val="22"/>
          <w:szCs w:val="22"/>
        </w:rPr>
        <w:t xml:space="preserve">Oświadczenie, o którym mowa w art. 117 ust. 4 ustawy Pzp, z którego wynika, które roboty budowlane, dostawy lub usługi wykonają poszczególni wykonawcy – odnosi się do Wykonawców wspólnie </w:t>
      </w:r>
      <w:r>
        <w:rPr>
          <w:rFonts w:cs="Arial" w:ascii="Arial" w:hAnsi="Arial"/>
          <w:color w:val="auto"/>
          <w:sz w:val="22"/>
          <w:szCs w:val="22"/>
        </w:rPr>
        <w:t xml:space="preserve">ubiegających się o udzielenie zamówienia – </w:t>
      </w:r>
      <w:r>
        <w:rPr>
          <w:rFonts w:cs="Arial" w:ascii="Arial" w:hAnsi="Arial"/>
          <w:i/>
          <w:color w:val="auto"/>
          <w:sz w:val="22"/>
          <w:szCs w:val="22"/>
        </w:rPr>
        <w:t xml:space="preserve">jeżeli dotyczy </w:t>
      </w:r>
      <w:r>
        <w:rPr>
          <w:rFonts w:cs="Arial" w:ascii="Arial" w:hAnsi="Arial"/>
          <w:color w:val="auto"/>
          <w:sz w:val="22"/>
          <w:szCs w:val="22"/>
        </w:rPr>
        <w:t xml:space="preserve">- zgodnie z </w:t>
      </w:r>
      <w:r>
        <w:rPr>
          <w:rFonts w:cs="Arial" w:ascii="Arial" w:hAnsi="Arial"/>
          <w:b/>
          <w:color w:val="auto"/>
          <w:sz w:val="22"/>
          <w:szCs w:val="22"/>
        </w:rPr>
        <w:t>załącznikiem nr 6 do SWZ</w:t>
      </w:r>
      <w:r>
        <w:rPr>
          <w:rFonts w:cs="Arial" w:ascii="Arial" w:hAnsi="Arial"/>
          <w:color w:val="auto"/>
          <w:sz w:val="22"/>
          <w:szCs w:val="22"/>
        </w:rPr>
        <w:t>.</w:t>
      </w:r>
    </w:p>
    <w:p>
      <w:pPr>
        <w:pStyle w:val="Default"/>
        <w:numPr>
          <w:ilvl w:val="0"/>
          <w:numId w:val="9"/>
        </w:numPr>
        <w:jc w:val="both"/>
        <w:rPr>
          <w:rFonts w:ascii="Arial" w:hAnsi="Arial" w:cs="Arial"/>
          <w:color w:val="auto"/>
          <w:sz w:val="22"/>
          <w:szCs w:val="22"/>
        </w:rPr>
      </w:pPr>
      <w:r>
        <w:rPr>
          <w:rFonts w:cs="Arial" w:ascii="Arial" w:hAnsi="Arial"/>
          <w:color w:val="auto"/>
          <w:sz w:val="22"/>
          <w:szCs w:val="22"/>
        </w:rPr>
        <w:t>Przedmiotowe środki dowodowe, o których mowa w pkt 5 SWZ.</w:t>
      </w:r>
    </w:p>
    <w:p>
      <w:pPr>
        <w:pStyle w:val="Default"/>
        <w:ind w:left="1270"/>
        <w:jc w:val="both"/>
        <w:rPr>
          <w:rFonts w:ascii="Arial" w:hAnsi="Arial" w:cs="Arial"/>
          <w:color w:val="auto"/>
          <w:sz w:val="22"/>
          <w:szCs w:val="22"/>
        </w:rPr>
      </w:pPr>
      <w:r>
        <w:rPr>
          <w:rFonts w:cs="Arial" w:ascii="Arial" w:hAnsi="Arial"/>
          <w:color w:val="auto"/>
          <w:sz w:val="22"/>
          <w:szCs w:val="22"/>
        </w:rPr>
        <w:t>Zgodnie z art. 107 ust. 1 ustawy Pzp „Jeżeli zamawiający żąda złożenia przedmiotowych środków dowodowych, wykonawca składa je wraz z ofertą”.</w:t>
      </w:r>
    </w:p>
    <w:p>
      <w:pPr>
        <w:pStyle w:val="Default"/>
        <w:numPr>
          <w:ilvl w:val="0"/>
          <w:numId w:val="9"/>
        </w:numPr>
        <w:jc w:val="both"/>
        <w:rPr>
          <w:rFonts w:ascii="Arial" w:hAnsi="Arial" w:cs="Arial"/>
          <w:color w:val="auto"/>
          <w:sz w:val="22"/>
          <w:szCs w:val="22"/>
        </w:rPr>
      </w:pPr>
      <w:r>
        <w:rPr>
          <w:rFonts w:cs="Arial" w:ascii="Arial" w:hAnsi="Arial"/>
          <w:color w:val="auto"/>
          <w:sz w:val="22"/>
          <w:szCs w:val="22"/>
        </w:rPr>
        <w:t>Dowód wniesienia wadium (jeżeli dotyczy).</w:t>
      </w:r>
    </w:p>
    <w:p>
      <w:pPr>
        <w:pStyle w:val="Default"/>
        <w:numPr>
          <w:ilvl w:val="0"/>
          <w:numId w:val="8"/>
        </w:numPr>
        <w:ind w:hanging="420" w:left="851"/>
        <w:jc w:val="both"/>
        <w:rPr>
          <w:rFonts w:ascii="Arial" w:hAnsi="Arial" w:cs="Arial"/>
          <w:color w:val="auto"/>
          <w:sz w:val="22"/>
          <w:szCs w:val="22"/>
        </w:rPr>
      </w:pPr>
      <w:r>
        <w:rPr>
          <w:rFonts w:cs="Arial" w:ascii="Arial" w:hAnsi="Arial"/>
          <w:color w:val="auto"/>
          <w:sz w:val="22"/>
          <w:szCs w:val="22"/>
        </w:rPr>
        <w:t>Zgodnie z art. 274 ust. 1 ustawy Pzp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Default"/>
        <w:ind w:left="851"/>
        <w:rPr>
          <w:rFonts w:ascii="Arial" w:hAnsi="Arial" w:cs="Arial"/>
          <w:color w:val="auto"/>
          <w:sz w:val="22"/>
          <w:szCs w:val="22"/>
        </w:rPr>
      </w:pPr>
      <w:r>
        <w:rPr>
          <w:rFonts w:cs="Arial" w:ascii="Arial" w:hAnsi="Arial"/>
          <w:color w:val="auto"/>
          <w:sz w:val="22"/>
          <w:szCs w:val="22"/>
        </w:rPr>
        <w:t>Podmiotowe środki dowodowe, o których mowa w pkt 27 SWZ:</w:t>
      </w:r>
    </w:p>
    <w:p>
      <w:pPr>
        <w:pStyle w:val="Default"/>
        <w:ind w:hanging="567" w:left="1418"/>
        <w:rPr>
          <w:rFonts w:ascii="Arial" w:hAnsi="Arial" w:cs="Arial"/>
          <w:color w:val="auto"/>
          <w:sz w:val="22"/>
          <w:szCs w:val="22"/>
        </w:rPr>
      </w:pPr>
      <w:r>
        <w:rPr>
          <w:rFonts w:cs="Arial" w:ascii="Arial" w:hAnsi="Arial"/>
          <w:color w:val="auto"/>
          <w:sz w:val="22"/>
          <w:szCs w:val="22"/>
        </w:rPr>
        <w:t>-</w:t>
        <w:tab/>
        <w:t>informacja z Krajowego Rejestru Karnego,</w:t>
      </w:r>
    </w:p>
    <w:p>
      <w:pPr>
        <w:pStyle w:val="Default"/>
        <w:ind w:hanging="567" w:left="1418"/>
        <w:rPr>
          <w:rFonts w:ascii="Arial" w:hAnsi="Arial" w:cs="Arial"/>
          <w:color w:val="auto"/>
          <w:sz w:val="22"/>
          <w:szCs w:val="22"/>
        </w:rPr>
      </w:pPr>
      <w:r>
        <w:rPr>
          <w:rFonts w:cs="Arial" w:ascii="Arial" w:hAnsi="Arial"/>
          <w:color w:val="auto"/>
          <w:sz w:val="22"/>
          <w:szCs w:val="22"/>
        </w:rPr>
        <w:t>-</w:t>
        <w:tab/>
        <w:t>oświadczenie wykonawcy, w zakresie art. 108 ust. 1 pkt 5 ustawy Pzp o braku przynależności do tej samej grupy kapitałowej,</w:t>
      </w:r>
    </w:p>
    <w:p>
      <w:pPr>
        <w:pStyle w:val="Default"/>
        <w:ind w:hanging="567" w:left="1418"/>
        <w:rPr>
          <w:rFonts w:ascii="Arial" w:hAnsi="Arial" w:cs="Arial"/>
          <w:color w:val="auto"/>
          <w:sz w:val="22"/>
          <w:szCs w:val="22"/>
        </w:rPr>
      </w:pPr>
      <w:r>
        <w:rPr>
          <w:rFonts w:cs="Arial" w:ascii="Arial" w:hAnsi="Arial"/>
          <w:color w:val="auto"/>
          <w:sz w:val="22"/>
          <w:szCs w:val="22"/>
        </w:rPr>
        <w:t>-</w:t>
        <w:tab/>
        <w:t>oświadczenie wykonawcy o aktualności informacji zawartych w oświadczeniu, o którym mowa w art. 125 ust. 1 ustawy Pzp, w zakresie podstaw wykluczenia z po-stępowania wskazanych przez zamawiającego, o których mowa w:</w:t>
      </w:r>
    </w:p>
    <w:p>
      <w:pPr>
        <w:pStyle w:val="Default"/>
        <w:ind w:hanging="425" w:left="1843"/>
        <w:rPr>
          <w:rFonts w:ascii="Arial" w:hAnsi="Arial" w:cs="Arial"/>
          <w:color w:val="auto"/>
          <w:sz w:val="22"/>
          <w:szCs w:val="22"/>
        </w:rPr>
      </w:pPr>
      <w:r>
        <w:rPr>
          <w:rFonts w:cs="Arial" w:ascii="Arial" w:hAnsi="Arial"/>
          <w:color w:val="auto"/>
          <w:sz w:val="22"/>
          <w:szCs w:val="22"/>
        </w:rPr>
        <w:t></w:t>
      </w:r>
      <w:r>
        <w:rPr>
          <w:rFonts w:cs="Arial" w:ascii="Arial" w:hAnsi="Arial"/>
          <w:color w:val="auto"/>
          <w:sz w:val="22"/>
          <w:szCs w:val="22"/>
        </w:rPr>
        <w:tab/>
        <w:t>art. 108 ust. 1 pkt 3 ustawy Pzp,</w:t>
      </w:r>
    </w:p>
    <w:p>
      <w:pPr>
        <w:pStyle w:val="Default"/>
        <w:ind w:hanging="425" w:left="1843"/>
        <w:rPr>
          <w:rFonts w:ascii="Arial" w:hAnsi="Arial" w:cs="Arial"/>
          <w:color w:val="auto"/>
          <w:sz w:val="22"/>
          <w:szCs w:val="22"/>
        </w:rPr>
      </w:pPr>
      <w:r>
        <w:rPr>
          <w:rFonts w:cs="Arial" w:ascii="Arial" w:hAnsi="Arial"/>
          <w:color w:val="auto"/>
          <w:sz w:val="22"/>
          <w:szCs w:val="22"/>
        </w:rPr>
        <w:t></w:t>
      </w:r>
      <w:r>
        <w:rPr>
          <w:rFonts w:cs="Arial" w:ascii="Arial" w:hAnsi="Arial"/>
          <w:color w:val="auto"/>
          <w:sz w:val="22"/>
          <w:szCs w:val="22"/>
        </w:rPr>
        <w:tab/>
        <w:t>art. 108 ust. 1 pkt 4 ustawy Pzp, dotyczących orzeczenia zakazu ubiegania się o zamówienie publiczne tytułem środka zapobiegawczego,</w:t>
      </w:r>
    </w:p>
    <w:p>
      <w:pPr>
        <w:pStyle w:val="Default"/>
        <w:ind w:hanging="425" w:left="1843"/>
        <w:rPr>
          <w:rFonts w:ascii="Arial" w:hAnsi="Arial" w:cs="Arial"/>
          <w:color w:val="auto"/>
          <w:sz w:val="22"/>
          <w:szCs w:val="22"/>
        </w:rPr>
      </w:pPr>
      <w:r>
        <w:rPr>
          <w:rFonts w:cs="Arial" w:ascii="Arial" w:hAnsi="Arial"/>
          <w:color w:val="auto"/>
          <w:sz w:val="22"/>
          <w:szCs w:val="22"/>
        </w:rPr>
        <w:t></w:t>
      </w:r>
      <w:r>
        <w:rPr>
          <w:rFonts w:cs="Arial" w:ascii="Arial" w:hAnsi="Arial"/>
          <w:color w:val="auto"/>
          <w:sz w:val="22"/>
          <w:szCs w:val="22"/>
        </w:rPr>
        <w:tab/>
        <w:t>art. 108 ust. 1 pkt 5 ustawy Pzp, dotyczących zawarcia z innymi wykonawcami porozumienia mającego na celu zakłócenie konkurencji,</w:t>
      </w:r>
    </w:p>
    <w:p>
      <w:pPr>
        <w:pStyle w:val="Default"/>
        <w:ind w:hanging="425" w:left="1843"/>
        <w:rPr>
          <w:rFonts w:ascii="Arial" w:hAnsi="Arial" w:cs="Arial"/>
          <w:color w:val="auto"/>
          <w:sz w:val="22"/>
          <w:szCs w:val="22"/>
        </w:rPr>
      </w:pPr>
      <w:r>
        <w:rPr>
          <w:rFonts w:cs="Arial" w:ascii="Arial" w:hAnsi="Arial"/>
          <w:color w:val="auto"/>
          <w:sz w:val="22"/>
          <w:szCs w:val="22"/>
        </w:rPr>
        <w:t></w:t>
      </w:r>
      <w:r>
        <w:rPr>
          <w:rFonts w:cs="Arial" w:ascii="Arial" w:hAnsi="Arial"/>
          <w:color w:val="auto"/>
          <w:sz w:val="22"/>
          <w:szCs w:val="22"/>
        </w:rPr>
        <w:tab/>
        <w:t>art. 108 ust. 1 pkt 6 ustawy Pzp,</w:t>
      </w:r>
    </w:p>
    <w:p>
      <w:pPr>
        <w:pStyle w:val="Default"/>
        <w:ind w:hanging="425" w:left="1843"/>
        <w:rPr>
          <w:rFonts w:ascii="Arial" w:hAnsi="Arial" w:cs="Arial"/>
          <w:color w:val="auto"/>
          <w:sz w:val="22"/>
          <w:szCs w:val="22"/>
        </w:rPr>
      </w:pPr>
      <w:r>
        <w:rPr>
          <w:rFonts w:cs="Arial" w:ascii="Arial" w:hAnsi="Arial"/>
          <w:color w:val="auto"/>
          <w:sz w:val="22"/>
          <w:szCs w:val="22"/>
        </w:rPr>
        <w:t></w:t>
      </w:r>
      <w:r>
        <w:rPr>
          <w:rFonts w:cs="Arial" w:ascii="Arial" w:hAnsi="Arial"/>
          <w:color w:val="auto"/>
          <w:sz w:val="22"/>
          <w:szCs w:val="22"/>
        </w:rPr>
        <w:tab/>
        <w:t>art. 109 ust. 1 pkt 5 i 7 ustawy Pzp,</w:t>
      </w:r>
    </w:p>
    <w:p>
      <w:pPr>
        <w:pStyle w:val="Default"/>
        <w:ind w:hanging="567" w:left="1418"/>
        <w:rPr>
          <w:rFonts w:ascii="Arial" w:hAnsi="Arial" w:cs="Arial"/>
          <w:color w:val="auto"/>
          <w:sz w:val="22"/>
          <w:szCs w:val="22"/>
        </w:rPr>
      </w:pPr>
      <w:r>
        <w:rPr>
          <w:rFonts w:cs="Arial" w:ascii="Arial" w:hAnsi="Arial"/>
          <w:color w:val="auto"/>
          <w:sz w:val="22"/>
          <w:szCs w:val="22"/>
        </w:rPr>
        <w:t>-</w:t>
        <w:tab/>
        <w:t>informacji banku lub spółdzielczej kasy oszczędnościowo-kredytowej potwierdzającej wysokość posiadanych środków finansowych lub zdolność kredytową wykonawcy,</w:t>
      </w:r>
    </w:p>
    <w:p>
      <w:pPr>
        <w:pStyle w:val="Default"/>
        <w:ind w:hanging="567" w:left="1418"/>
        <w:rPr>
          <w:rFonts w:ascii="Arial" w:hAnsi="Arial" w:cs="Arial"/>
          <w:color w:val="auto"/>
          <w:sz w:val="22"/>
          <w:szCs w:val="22"/>
        </w:rPr>
      </w:pPr>
      <w:r>
        <w:rPr>
          <w:rFonts w:cs="Arial" w:ascii="Arial" w:hAnsi="Arial"/>
          <w:color w:val="auto"/>
          <w:sz w:val="22"/>
          <w:szCs w:val="22"/>
        </w:rPr>
        <w:t>-</w:t>
        <w:tab/>
        <w:t>Wykaz robót budowlanych,</w:t>
      </w:r>
    </w:p>
    <w:p>
      <w:pPr>
        <w:pStyle w:val="Default"/>
        <w:ind w:hanging="567" w:left="1418"/>
        <w:jc w:val="both"/>
        <w:rPr>
          <w:rFonts w:ascii="Arial" w:hAnsi="Arial" w:cs="Arial"/>
          <w:color w:val="auto"/>
          <w:sz w:val="22"/>
          <w:szCs w:val="22"/>
        </w:rPr>
      </w:pPr>
      <w:r>
        <w:rPr>
          <w:rFonts w:cs="Arial" w:ascii="Arial" w:hAnsi="Arial"/>
          <w:color w:val="auto"/>
          <w:sz w:val="22"/>
          <w:szCs w:val="22"/>
        </w:rPr>
        <w:t>-</w:t>
        <w:tab/>
        <w:t>Wykaz osób.</w:t>
      </w:r>
    </w:p>
    <w:p>
      <w:pPr>
        <w:pStyle w:val="Default"/>
        <w:ind w:left="851"/>
        <w:jc w:val="both"/>
        <w:rPr>
          <w:rFonts w:ascii="Arial" w:hAnsi="Arial" w:cs="Arial"/>
          <w:color w:val="auto"/>
          <w:sz w:val="22"/>
          <w:szCs w:val="22"/>
        </w:rPr>
      </w:pPr>
      <w:r>
        <w:rPr>
          <w:rFonts w:cs="Arial" w:ascii="Arial" w:hAnsi="Arial"/>
          <w:color w:val="auto"/>
          <w:sz w:val="22"/>
          <w:szCs w:val="22"/>
        </w:rPr>
        <w:t>Zgodnie z art. 274 ust. 4 ustawy Pzp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pPr>
        <w:pStyle w:val="Default"/>
        <w:ind w:left="851"/>
        <w:jc w:val="both"/>
        <w:rPr>
          <w:rFonts w:ascii="Arial" w:hAnsi="Arial" w:cs="Arial"/>
          <w:sz w:val="22"/>
        </w:rPr>
      </w:pPr>
      <w:r>
        <w:rPr>
          <w:rFonts w:cs="Arial" w:ascii="Arial" w:hAnsi="Arial"/>
          <w:sz w:val="22"/>
        </w:rPr>
        <w:t>Wykonawca nie jest zobowiązany do złożenia podmiotowych środków dowodowych, które zamawiający posiada, jeżeli Wykonawca wskaże te środki oraz potwierdzi ich prawidłowość i aktualność.</w:t>
      </w:r>
    </w:p>
    <w:p>
      <w:pPr>
        <w:pStyle w:val="Default"/>
        <w:ind w:left="851"/>
        <w:jc w:val="both"/>
        <w:rPr>
          <w:rFonts w:ascii="Arial" w:hAnsi="Arial" w:cs="Arial"/>
          <w:sz w:val="22"/>
        </w:rPr>
      </w:pPr>
      <w:r>
        <w:rPr>
          <w:rFonts w:cs="Arial" w:ascii="Arial" w:hAnsi="Arial"/>
          <w:sz w:val="22"/>
        </w:rPr>
        <w:t>Oświadczenia i dokumenty potwierdzające brak podstaw do wykluczenia z postępowania składa każdy z Wykonawców wspólnie ubiegających się o zamówienie.</w:t>
      </w:r>
    </w:p>
    <w:p>
      <w:pPr>
        <w:pStyle w:val="Default"/>
        <w:numPr>
          <w:ilvl w:val="0"/>
          <w:numId w:val="8"/>
        </w:numPr>
        <w:ind w:hanging="420" w:left="851"/>
        <w:jc w:val="both"/>
        <w:rPr>
          <w:rFonts w:ascii="Arial" w:hAnsi="Arial" w:cs="Arial"/>
          <w:color w:val="auto"/>
          <w:sz w:val="22"/>
          <w:szCs w:val="22"/>
        </w:rPr>
      </w:pPr>
      <w:r>
        <w:rPr>
          <w:rFonts w:cs="Arial" w:ascii="Arial" w:hAnsi="Arial"/>
          <w:color w:val="auto"/>
          <w:sz w:val="22"/>
          <w:szCs w:val="22"/>
        </w:rPr>
        <w:t>Oferta winna być przygotowana zgodnie z przepisami ustawy Pzp i aktami wykonawczymi do niej, w szczególności:</w:t>
      </w:r>
    </w:p>
    <w:p>
      <w:pPr>
        <w:pStyle w:val="Default"/>
        <w:numPr>
          <w:ilvl w:val="0"/>
          <w:numId w:val="10"/>
        </w:numPr>
        <w:ind w:hanging="425" w:left="1276"/>
        <w:jc w:val="both"/>
        <w:rPr>
          <w:rFonts w:ascii="Arial" w:hAnsi="Arial" w:cs="Arial"/>
          <w:color w:val="auto"/>
          <w:sz w:val="22"/>
          <w:szCs w:val="22"/>
        </w:rPr>
      </w:pPr>
      <w:r>
        <w:rPr>
          <w:rFonts w:cs="Arial" w:ascii="Arial" w:hAnsi="Arial"/>
          <w:color w:val="auto"/>
          <w:sz w:val="22"/>
          <w:szCs w:val="22"/>
        </w:rPr>
        <w:t xml:space="preserve">Rozporządzeniem Ministra Rozwoju, Pracy i Technologii z dnia 23 grudnia 2020 r. w sprawie podmiotowych środków dowodowych oraz innych dokumentów lub oświadczeń, jakich może żądać zamawiający od wykonawcy (Dz.U. 2020 poz. 2415) – zwanego dalej </w:t>
      </w:r>
      <w:r>
        <w:rPr>
          <w:rFonts w:cs="Arial" w:ascii="Arial" w:hAnsi="Arial"/>
          <w:i/>
          <w:color w:val="auto"/>
          <w:sz w:val="22"/>
          <w:szCs w:val="22"/>
        </w:rPr>
        <w:t>„Rozporządzeniem o dokumentach”,</w:t>
      </w:r>
    </w:p>
    <w:p>
      <w:pPr>
        <w:pStyle w:val="Default"/>
        <w:numPr>
          <w:ilvl w:val="0"/>
          <w:numId w:val="10"/>
        </w:numPr>
        <w:ind w:hanging="425" w:left="1276"/>
        <w:jc w:val="both"/>
        <w:rPr>
          <w:rFonts w:ascii="Arial" w:hAnsi="Arial" w:cs="Arial"/>
          <w:color w:val="auto"/>
          <w:sz w:val="22"/>
          <w:szCs w:val="22"/>
        </w:rPr>
      </w:pPr>
      <w:r>
        <w:rPr>
          <w:rFonts w:cs="Arial" w:ascii="Arial" w:hAnsi="Arial"/>
          <w:color w:val="auto"/>
          <w:sz w:val="22"/>
          <w:szCs w:val="22"/>
        </w:rPr>
        <w:t xml:space="preserve">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2020 poz. 2452) – zwanego dalej </w:t>
      </w:r>
      <w:r>
        <w:rPr>
          <w:rFonts w:cs="Arial" w:ascii="Arial" w:hAnsi="Arial"/>
          <w:i/>
          <w:color w:val="auto"/>
          <w:sz w:val="22"/>
          <w:szCs w:val="22"/>
        </w:rPr>
        <w:t>„Rozporządzeniem o środkach komunikacji”,</w:t>
      </w:r>
    </w:p>
    <w:p>
      <w:pPr>
        <w:pStyle w:val="Default"/>
        <w:numPr>
          <w:ilvl w:val="0"/>
          <w:numId w:val="10"/>
        </w:numPr>
        <w:ind w:hanging="425" w:left="1276"/>
        <w:jc w:val="both"/>
        <w:rPr>
          <w:rFonts w:ascii="Arial" w:hAnsi="Arial" w:cs="Arial"/>
          <w:color w:val="auto"/>
          <w:sz w:val="22"/>
          <w:szCs w:val="22"/>
        </w:rPr>
      </w:pPr>
      <w:r>
        <w:rPr>
          <w:rFonts w:cs="Arial" w:ascii="Arial" w:hAnsi="Arial"/>
          <w:color w:val="auto"/>
          <w:sz w:val="22"/>
          <w:szCs w:val="22"/>
        </w:rPr>
        <w:t xml:space="preserve">Rozporządzeniem Rady Ministrów z dnia 12 kwietnia 2012 r. w sprawie Krajowych Ram Interoperacyjności, minimalnych wymagań dla rejestrów publicznych i wymiany informacji w postaci elektronicznej oraz minimalnych wymagań dla systemów teleinformatycznych (tj.; Dz.U. 2017 poz. 2247) – zwanego dalej </w:t>
      </w:r>
      <w:r>
        <w:rPr>
          <w:rFonts w:cs="Arial" w:ascii="Arial" w:hAnsi="Arial"/>
          <w:i/>
          <w:color w:val="auto"/>
          <w:sz w:val="22"/>
          <w:szCs w:val="22"/>
        </w:rPr>
        <w:t>„Rozporządzeniem w sprawie KRI”,</w:t>
      </w:r>
    </w:p>
    <w:p>
      <w:pPr>
        <w:pStyle w:val="Default"/>
        <w:numPr>
          <w:ilvl w:val="0"/>
          <w:numId w:val="8"/>
        </w:numPr>
        <w:jc w:val="both"/>
        <w:rPr>
          <w:rFonts w:ascii="Arial" w:hAnsi="Arial" w:cs="Arial"/>
          <w:color w:val="auto"/>
          <w:sz w:val="22"/>
          <w:szCs w:val="22"/>
        </w:rPr>
      </w:pPr>
      <w:r>
        <w:rPr>
          <w:rFonts w:cs="Arial" w:ascii="Arial" w:hAnsi="Arial"/>
          <w:color w:val="auto"/>
          <w:sz w:val="22"/>
          <w:szCs w:val="22"/>
        </w:rPr>
        <w:t>Zgodnie z art. 63 ust. 2 ustawy Pzp w postępowaniu o udzielenie zamówienia ofertę, oświadczenie, o którym mowa w art. 125 ust. 1 ustawy Pzp, składa się, pod rygorem nieważności, w formie elektronicznej lub w postaci elektronicznej opatrzonej podpisem zaufanym lub podpisem osobistym.</w:t>
      </w:r>
    </w:p>
    <w:p>
      <w:pPr>
        <w:pStyle w:val="Default"/>
        <w:numPr>
          <w:ilvl w:val="0"/>
          <w:numId w:val="8"/>
        </w:numPr>
        <w:jc w:val="both"/>
        <w:rPr>
          <w:rFonts w:ascii="Arial" w:hAnsi="Arial" w:cs="Arial"/>
          <w:sz w:val="22"/>
          <w:szCs w:val="22"/>
        </w:rPr>
      </w:pPr>
      <w:r>
        <w:rPr>
          <w:rFonts w:cs="Arial" w:ascii="Arial" w:hAnsi="Arial"/>
          <w:color w:val="auto"/>
          <w:sz w:val="22"/>
          <w:szCs w:val="22"/>
        </w:rPr>
        <w:t>Zgodnie z zapisami „</w:t>
      </w:r>
      <w:r>
        <w:rPr>
          <w:rFonts w:cs="Arial" w:ascii="Arial" w:hAnsi="Arial"/>
          <w:i/>
          <w:color w:val="auto"/>
          <w:sz w:val="22"/>
          <w:szCs w:val="22"/>
        </w:rPr>
        <w:t xml:space="preserve">Rozporządzenia o środkach komunikacji”, </w:t>
      </w:r>
      <w:r>
        <w:rPr>
          <w:rFonts w:cs="Arial" w:ascii="Arial" w:hAnsi="Arial"/>
          <w:color w:val="auto"/>
          <w:sz w:val="22"/>
          <w:szCs w:val="22"/>
        </w:rPr>
        <w:t>o którym mowa powyżej w ppkt 4b:</w:t>
      </w:r>
    </w:p>
    <w:p>
      <w:pPr>
        <w:pStyle w:val="Default"/>
        <w:numPr>
          <w:ilvl w:val="0"/>
          <w:numId w:val="11"/>
        </w:numPr>
        <w:jc w:val="both"/>
        <w:rPr>
          <w:rFonts w:ascii="Arial" w:hAnsi="Arial" w:cs="Arial"/>
          <w:color w:val="auto"/>
          <w:sz w:val="22"/>
          <w:szCs w:val="22"/>
        </w:rPr>
      </w:pPr>
      <w:r>
        <w:rPr>
          <w:rFonts w:cs="Arial" w:ascii="Arial" w:hAnsi="Arial"/>
          <w:color w:val="auto"/>
          <w:sz w:val="22"/>
          <w:szCs w:val="22"/>
        </w:rPr>
        <w:t>§ 2 ust. 1 i 2 - wnioski o dopuszczenie do udziału w postępowaniu lub konkursie, wnioski, o których mowa w art. 371 ust. 3 ustawy Pzp, oferty, prace konkursowe, oświadczenia, o których mowa w art. 125 ust. 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pPr>
        <w:pStyle w:val="Default"/>
        <w:ind w:left="1206"/>
        <w:jc w:val="both"/>
        <w:rPr>
          <w:rFonts w:ascii="Arial" w:hAnsi="Arial" w:cs="Arial"/>
          <w:color w:val="auto"/>
          <w:sz w:val="22"/>
          <w:szCs w:val="22"/>
        </w:rPr>
      </w:pPr>
      <w:r>
        <w:rPr>
          <w:rFonts w:cs="Arial" w:ascii="Arial" w:hAnsi="Arial"/>
          <w:color w:val="auto"/>
          <w:sz w:val="22"/>
          <w:szCs w:val="22"/>
        </w:rPr>
        <w:t>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pkt 1 SWZ.</w:t>
      </w:r>
    </w:p>
    <w:p>
      <w:pPr>
        <w:pStyle w:val="Default"/>
        <w:numPr>
          <w:ilvl w:val="0"/>
          <w:numId w:val="11"/>
        </w:numPr>
        <w:jc w:val="both"/>
        <w:rPr>
          <w:rFonts w:ascii="Arial" w:hAnsi="Arial" w:cs="Arial"/>
          <w:sz w:val="22"/>
          <w:szCs w:val="22"/>
        </w:rPr>
      </w:pPr>
      <w:r>
        <w:rPr>
          <w:rFonts w:cs="Arial" w:ascii="Arial" w:hAnsi="Arial"/>
          <w:color w:val="auto"/>
          <w:sz w:val="22"/>
          <w:szCs w:val="22"/>
        </w:rPr>
        <w:t xml:space="preserve">§ 3 ust. 1 - </w:t>
      </w:r>
      <w:r>
        <w:rPr>
          <w:rFonts w:cs="Arial" w:ascii="Arial" w:hAnsi="Arial"/>
          <w:sz w:val="22"/>
          <w:szCs w:val="22"/>
        </w:rPr>
        <w:t>dokumenty elektroniczne przekazuje się w postępowaniu przy użyciu środków komunikacji elektronicznej wskazanych przez zamawiającego w pkt 1 SWZ,</w:t>
      </w:r>
    </w:p>
    <w:p>
      <w:pPr>
        <w:pStyle w:val="Default"/>
        <w:numPr>
          <w:ilvl w:val="0"/>
          <w:numId w:val="11"/>
        </w:numPr>
        <w:jc w:val="both"/>
        <w:rPr>
          <w:rFonts w:ascii="Arial" w:hAnsi="Arial" w:cs="Arial"/>
          <w:sz w:val="22"/>
          <w:szCs w:val="22"/>
        </w:rPr>
      </w:pPr>
      <w:r>
        <w:rPr>
          <w:rFonts w:cs="Arial" w:ascii="Arial" w:hAnsi="Arial"/>
          <w:color w:val="auto"/>
          <w:sz w:val="22"/>
          <w:szCs w:val="22"/>
        </w:rPr>
        <w:t xml:space="preserve">§ 4 ust. 1 – </w:t>
      </w:r>
      <w:r>
        <w:rPr>
          <w:rFonts w:cs="Arial" w:ascii="Arial" w:hAnsi="Arial"/>
          <w:sz w:val="22"/>
          <w:szCs w:val="22"/>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pPr>
        <w:pStyle w:val="Default"/>
        <w:ind w:left="1206"/>
        <w:jc w:val="both"/>
        <w:rPr>
          <w:rFonts w:ascii="Arial" w:hAnsi="Arial" w:cs="Arial"/>
          <w:sz w:val="22"/>
          <w:szCs w:val="22"/>
        </w:rPr>
      </w:pPr>
      <w:r>
        <w:rPr>
          <w:rFonts w:cs="Arial" w:ascii="Arial" w:hAnsi="Arial"/>
          <w:sz w:val="22"/>
          <w:szCs w:val="22"/>
        </w:rPr>
        <w:t>Przez tajemnicę przedsiębiorstwa, w rozumieniu art. 11 ust. 2 ww. ustawy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pPr>
        <w:pStyle w:val="Default"/>
        <w:ind w:left="1206"/>
        <w:jc w:val="both"/>
        <w:rPr>
          <w:rFonts w:ascii="Arial" w:hAnsi="Arial" w:cs="Arial"/>
          <w:sz w:val="22"/>
          <w:szCs w:val="22"/>
        </w:rPr>
      </w:pPr>
      <w:r>
        <w:rPr>
          <w:rFonts w:cs="Arial" w:ascii="Arial" w:hAnsi="Arial"/>
          <w:color w:val="auto"/>
          <w:sz w:val="22"/>
          <w:szCs w:val="22"/>
        </w:rPr>
        <w:t>Zamawiający informuje, iż</w:t>
      </w:r>
      <w:r>
        <w:rPr>
          <w:rFonts w:cs="Arial" w:ascii="Arial" w:hAnsi="Arial"/>
          <w:sz w:val="22"/>
          <w:szCs w:val="22"/>
        </w:rPr>
        <w:t> przypadku, gdy Wykonawca zgodnie z wymogami określonymi w art. 18 ust. 3 ustawy Pzp nie wykaże, że zastrzeżone informacje stanowią tajemnicę przedsiębiorstwa, Zamawiający uzna zastrzeżenie tajemnicy za bezskuteczne, o czym poinformuje Wykonawcę.</w:t>
      </w:r>
    </w:p>
    <w:p>
      <w:pPr>
        <w:pStyle w:val="Default"/>
        <w:numPr>
          <w:ilvl w:val="0"/>
          <w:numId w:val="11"/>
        </w:numPr>
        <w:jc w:val="both"/>
        <w:rPr>
          <w:rFonts w:ascii="Arial" w:hAnsi="Arial" w:cs="Arial"/>
          <w:sz w:val="22"/>
          <w:szCs w:val="22"/>
        </w:rPr>
      </w:pPr>
      <w:r>
        <w:rPr>
          <w:rFonts w:cs="Arial" w:ascii="Arial" w:hAnsi="Arial"/>
          <w:color w:val="auto"/>
          <w:sz w:val="22"/>
          <w:szCs w:val="22"/>
        </w:rPr>
        <w:t>§ 5 - p</w:t>
      </w:r>
      <w:r>
        <w:rPr>
          <w:rFonts w:cs="Arial" w:ascii="Arial" w:hAnsi="Arial"/>
          <w:sz w:val="22"/>
          <w:szCs w:val="22"/>
        </w:rPr>
        <w:t>odmiotowe środki dowodowe, przedmiotowe środki dowodowe oraz inne dokumenty lub oświadczenia, sporządzone w języku obcym przekazuje się wraz z tłumaczeniem na język polski,</w:t>
      </w:r>
    </w:p>
    <w:p>
      <w:pPr>
        <w:pStyle w:val="Default"/>
        <w:numPr>
          <w:ilvl w:val="0"/>
          <w:numId w:val="11"/>
        </w:numPr>
        <w:jc w:val="both"/>
        <w:rPr>
          <w:rFonts w:ascii="Arial" w:hAnsi="Arial" w:cs="Arial"/>
          <w:sz w:val="22"/>
          <w:szCs w:val="22"/>
        </w:rPr>
      </w:pPr>
      <w:r>
        <w:rPr>
          <w:rFonts w:cs="Arial" w:ascii="Arial" w:hAnsi="Arial"/>
          <w:color w:val="auto"/>
          <w:sz w:val="22"/>
          <w:szCs w:val="22"/>
        </w:rPr>
        <w:t>§ 6 ust. 1 - 4 - 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pPr>
        <w:pStyle w:val="Default"/>
        <w:ind w:left="1206"/>
        <w:jc w:val="both"/>
        <w:rPr>
          <w:rFonts w:ascii="Arial" w:hAnsi="Arial" w:cs="Arial"/>
          <w:color w:val="auto"/>
          <w:sz w:val="22"/>
          <w:szCs w:val="22"/>
        </w:rPr>
      </w:pPr>
      <w:r>
        <w:rPr>
          <w:rFonts w:cs="Arial" w:ascii="Arial" w:hAnsi="Arial"/>
          <w:color w:val="auto"/>
          <w:sz w:val="22"/>
          <w:szCs w:val="22"/>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pPr>
        <w:pStyle w:val="Default"/>
        <w:ind w:left="1206"/>
        <w:jc w:val="both"/>
        <w:rPr>
          <w:rFonts w:ascii="Arial" w:hAnsi="Arial" w:cs="Arial"/>
          <w:sz w:val="22"/>
          <w:szCs w:val="22"/>
        </w:rPr>
      </w:pPr>
      <w:r>
        <w:rPr>
          <w:rFonts w:cs="Arial" w:ascii="Arial" w:hAnsi="Arial"/>
          <w:color w:val="auto"/>
          <w:sz w:val="22"/>
          <w:szCs w:val="22"/>
        </w:rPr>
        <w:t>Poświadczenia zgodności cyfrowego odwzorowania z dokumentem w postaci papierowej, o którym mowa powyżej, dokonuje w przypadku:</w:t>
      </w:r>
    </w:p>
    <w:p>
      <w:pPr>
        <w:pStyle w:val="Default"/>
        <w:numPr>
          <w:ilvl w:val="0"/>
          <w:numId w:val="13"/>
        </w:numPr>
        <w:ind w:hanging="360" w:left="1560"/>
        <w:jc w:val="both"/>
        <w:rPr>
          <w:rFonts w:ascii="Arial" w:hAnsi="Arial" w:cs="Arial"/>
          <w:color w:val="auto"/>
          <w:sz w:val="22"/>
          <w:szCs w:val="22"/>
        </w:rPr>
      </w:pPr>
      <w:r>
        <w:rPr>
          <w:rFonts w:cs="Arial" w:ascii="Arial" w:hAnsi="Arial"/>
          <w:color w:val="auto"/>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pPr>
        <w:pStyle w:val="Default"/>
        <w:numPr>
          <w:ilvl w:val="0"/>
          <w:numId w:val="13"/>
        </w:numPr>
        <w:ind w:hanging="360" w:left="1560"/>
        <w:jc w:val="both"/>
        <w:rPr>
          <w:rFonts w:ascii="Arial" w:hAnsi="Arial" w:cs="Arial"/>
          <w:color w:val="auto"/>
          <w:sz w:val="22"/>
          <w:szCs w:val="22"/>
        </w:rPr>
      </w:pPr>
      <w:r>
        <w:rPr>
          <w:rFonts w:cs="Arial" w:ascii="Arial" w:hAnsi="Arial"/>
          <w:color w:val="auto"/>
          <w:sz w:val="22"/>
          <w:szCs w:val="22"/>
        </w:rPr>
        <w:t>przedmiotowych środków dowodowych – odpowiednio wykonawca lub wykonawca wspólnie ubiegający się o udzielenie zamówienia;</w:t>
      </w:r>
    </w:p>
    <w:p>
      <w:pPr>
        <w:pStyle w:val="Default"/>
        <w:numPr>
          <w:ilvl w:val="0"/>
          <w:numId w:val="13"/>
        </w:numPr>
        <w:ind w:hanging="360" w:left="1560"/>
        <w:jc w:val="both"/>
        <w:rPr>
          <w:rFonts w:ascii="Arial" w:hAnsi="Arial" w:cs="Arial"/>
          <w:color w:val="auto"/>
          <w:sz w:val="22"/>
          <w:szCs w:val="22"/>
        </w:rPr>
      </w:pPr>
      <w:r>
        <w:rPr>
          <w:rFonts w:cs="Arial" w:ascii="Arial" w:hAnsi="Arial"/>
          <w:color w:val="auto"/>
          <w:sz w:val="22"/>
          <w:szCs w:val="22"/>
        </w:rPr>
        <w:t>innych dokumentów, w tym dokumentów, o których mowa w art. 94 ust. 2 ustawy Pzp – odpowiednio wykonawca lub wykonawca wspólnie ubiegający się o udzielenie zamówienia, w zakresie dokumentów, które każdego z nich dotyczą.</w:t>
      </w:r>
    </w:p>
    <w:p>
      <w:pPr>
        <w:pStyle w:val="Default"/>
        <w:ind w:left="1211"/>
        <w:jc w:val="both"/>
        <w:rPr>
          <w:rFonts w:ascii="Arial" w:hAnsi="Arial" w:cs="Arial"/>
          <w:color w:val="auto"/>
          <w:sz w:val="22"/>
          <w:szCs w:val="22"/>
        </w:rPr>
      </w:pPr>
      <w:r>
        <w:rPr>
          <w:rFonts w:cs="Arial" w:ascii="Arial" w:hAnsi="Arial"/>
          <w:color w:val="auto"/>
          <w:sz w:val="22"/>
          <w:szCs w:val="22"/>
        </w:rPr>
        <w:t>Poświadczenia zgodności cyfrowego odwzorowania z dokumentem w postaci papierowej, o którym mowa powyżej, może dokonać również notariusz.</w:t>
      </w:r>
    </w:p>
    <w:p>
      <w:pPr>
        <w:pStyle w:val="Default"/>
        <w:numPr>
          <w:ilvl w:val="0"/>
          <w:numId w:val="11"/>
        </w:numPr>
        <w:jc w:val="both"/>
        <w:rPr>
          <w:rFonts w:ascii="Arial" w:hAnsi="Arial" w:cs="Arial"/>
          <w:sz w:val="22"/>
          <w:szCs w:val="22"/>
        </w:rPr>
      </w:pPr>
      <w:r>
        <w:rPr>
          <w:rFonts w:cs="Arial" w:ascii="Arial" w:hAnsi="Arial"/>
          <w:color w:val="auto"/>
          <w:sz w:val="22"/>
          <w:szCs w:val="22"/>
        </w:rPr>
        <w:t>§ 7 ust. 1 - 4 - podmiotowe środki dowodowe, w tym oświadczenie, o którym mowa w art. 117 ust. 4 ustawy Pzp,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 podpisem zaufanym lub podpisem osobistym.</w:t>
      </w:r>
    </w:p>
    <w:p>
      <w:pPr>
        <w:pStyle w:val="Default"/>
        <w:ind w:left="1200"/>
        <w:jc w:val="both"/>
        <w:rPr>
          <w:rFonts w:ascii="Arial" w:hAnsi="Arial" w:cs="Arial"/>
          <w:color w:val="auto"/>
          <w:sz w:val="22"/>
          <w:szCs w:val="22"/>
        </w:rPr>
      </w:pPr>
      <w:r>
        <w:rPr>
          <w:rFonts w:cs="Arial" w:ascii="Arial" w:hAnsi="Arial"/>
          <w:color w:val="auto"/>
          <w:sz w:val="22"/>
          <w:szCs w:val="22"/>
        </w:rPr>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pPr>
        <w:pStyle w:val="Default"/>
        <w:ind w:left="1206"/>
        <w:jc w:val="both"/>
        <w:rPr>
          <w:rFonts w:ascii="Arial" w:hAnsi="Arial" w:cs="Arial"/>
          <w:color w:val="auto"/>
          <w:sz w:val="22"/>
          <w:szCs w:val="22"/>
        </w:rPr>
      </w:pPr>
      <w:r>
        <w:rPr>
          <w:rFonts w:cs="Arial" w:ascii="Arial" w:hAnsi="Arial"/>
          <w:color w:val="auto"/>
          <w:sz w:val="22"/>
          <w:szCs w:val="22"/>
        </w:rPr>
        <w:t>Poświadczenia zgodności cyfrowego odwzorowania z dokumentem w postaci papierowej dokonuje w przypadku:</w:t>
      </w:r>
    </w:p>
    <w:p>
      <w:pPr>
        <w:pStyle w:val="Default"/>
        <w:numPr>
          <w:ilvl w:val="0"/>
          <w:numId w:val="14"/>
        </w:numPr>
        <w:ind w:hanging="426" w:left="1560"/>
        <w:jc w:val="both"/>
        <w:rPr>
          <w:rFonts w:ascii="Arial" w:hAnsi="Arial" w:cs="Arial"/>
          <w:color w:val="auto"/>
          <w:sz w:val="22"/>
          <w:szCs w:val="22"/>
        </w:rPr>
      </w:pPr>
      <w:r>
        <w:rPr>
          <w:rFonts w:cs="Arial" w:ascii="Arial" w:hAnsi="Arial"/>
          <w:color w:val="auto"/>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pPr>
        <w:pStyle w:val="Default"/>
        <w:numPr>
          <w:ilvl w:val="0"/>
          <w:numId w:val="14"/>
        </w:numPr>
        <w:ind w:hanging="426" w:left="1560"/>
        <w:jc w:val="both"/>
        <w:rPr>
          <w:rFonts w:ascii="Arial" w:hAnsi="Arial" w:cs="Arial"/>
          <w:color w:val="auto"/>
          <w:sz w:val="22"/>
          <w:szCs w:val="22"/>
        </w:rPr>
      </w:pPr>
      <w:r>
        <w:rPr>
          <w:rFonts w:cs="Arial" w:ascii="Arial" w:hAnsi="Arial"/>
          <w:color w:val="auto"/>
          <w:sz w:val="22"/>
          <w:szCs w:val="22"/>
        </w:rPr>
        <w:t>przedmiotowego środka dowodowego, dokumentu, o którym mowa w art. 94 ust. 2 ustawy Pzp, oświadczenia, o którym mowa w art. 117 ust. 4 ustawy Pzp, lub zobowiązania podmiotu udostępniającego zasoby – odpowiednio wykonawca lub wykonawca wspólnie ubiegający się o udzielenie zamówienia;</w:t>
      </w:r>
    </w:p>
    <w:p>
      <w:pPr>
        <w:pStyle w:val="Default"/>
        <w:numPr>
          <w:ilvl w:val="0"/>
          <w:numId w:val="14"/>
        </w:numPr>
        <w:ind w:hanging="426" w:left="1560"/>
        <w:jc w:val="both"/>
        <w:rPr>
          <w:rFonts w:ascii="Arial" w:hAnsi="Arial" w:cs="Arial"/>
          <w:color w:val="auto"/>
          <w:sz w:val="22"/>
          <w:szCs w:val="22"/>
        </w:rPr>
      </w:pPr>
      <w:r>
        <w:rPr>
          <w:rFonts w:cs="Arial" w:ascii="Arial" w:hAnsi="Arial"/>
          <w:color w:val="auto"/>
          <w:sz w:val="22"/>
          <w:szCs w:val="22"/>
        </w:rPr>
        <w:t>pełnomocnictwa – mocodawca.</w:t>
      </w:r>
    </w:p>
    <w:p>
      <w:pPr>
        <w:pStyle w:val="Default"/>
        <w:ind w:left="1200"/>
        <w:jc w:val="both"/>
        <w:rPr>
          <w:rFonts w:ascii="Arial" w:hAnsi="Arial" w:cs="Arial"/>
          <w:color w:val="auto"/>
          <w:sz w:val="22"/>
          <w:szCs w:val="22"/>
        </w:rPr>
      </w:pPr>
      <w:r>
        <w:rPr>
          <w:rFonts w:cs="Arial" w:ascii="Arial" w:hAnsi="Arial"/>
          <w:color w:val="auto"/>
          <w:sz w:val="22"/>
          <w:szCs w:val="22"/>
        </w:rPr>
        <w:t>Poświadczenia zgodności cyfrowego odwzorowania z dokumentem w postaci papierowej może dokonać również notariusz.</w:t>
      </w:r>
    </w:p>
    <w:p>
      <w:pPr>
        <w:pStyle w:val="Default"/>
        <w:numPr>
          <w:ilvl w:val="0"/>
          <w:numId w:val="11"/>
        </w:numPr>
        <w:jc w:val="both"/>
        <w:rPr>
          <w:rFonts w:ascii="Arial" w:hAnsi="Arial" w:cs="Arial"/>
          <w:color w:val="auto"/>
          <w:sz w:val="22"/>
          <w:szCs w:val="22"/>
        </w:rPr>
      </w:pPr>
      <w:r>
        <w:rPr>
          <w:rFonts w:cs="Arial" w:ascii="Arial" w:hAnsi="Arial"/>
          <w:color w:val="auto"/>
          <w:sz w:val="22"/>
          <w:szCs w:val="22"/>
        </w:rPr>
        <w:t>Przez cyfrowe odwzorowanie, o którym mowa w lit. e i f powyżej, należy rozumieć dokument elektroniczny będący kopią elektroniczną treści zapisanej w postaci papierowej, umożliwiający zapoznanie się z tą treścią i jej zrozumienie, bez konieczności bezpośredniego dostępu do oryginału.</w:t>
      </w:r>
    </w:p>
    <w:p>
      <w:pPr>
        <w:pStyle w:val="Default"/>
        <w:numPr>
          <w:ilvl w:val="0"/>
          <w:numId w:val="11"/>
        </w:numPr>
        <w:jc w:val="both"/>
        <w:rPr>
          <w:rFonts w:ascii="Arial" w:hAnsi="Arial" w:cs="Arial"/>
          <w:color w:val="auto"/>
          <w:sz w:val="22"/>
          <w:szCs w:val="22"/>
        </w:rPr>
      </w:pPr>
      <w:r>
        <w:rPr>
          <w:rFonts w:cs="Arial" w:ascii="Arial" w:hAnsi="Arial"/>
          <w:color w:val="auto"/>
          <w:sz w:val="22"/>
          <w:szCs w:val="22"/>
        </w:rPr>
        <w:t>§ 8 - 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Default"/>
        <w:numPr>
          <w:ilvl w:val="0"/>
          <w:numId w:val="11"/>
        </w:numPr>
        <w:jc w:val="both"/>
        <w:rPr>
          <w:rFonts w:ascii="Arial" w:hAnsi="Arial" w:cs="Arial"/>
          <w:color w:val="auto"/>
          <w:sz w:val="22"/>
          <w:szCs w:val="22"/>
        </w:rPr>
      </w:pPr>
      <w:r>
        <w:rPr>
          <w:rFonts w:cs="Arial" w:ascii="Arial" w:hAnsi="Arial"/>
          <w:color w:val="auto"/>
          <w:sz w:val="22"/>
          <w:szCs w:val="22"/>
        </w:rPr>
        <w:t>§ 10 - dokumenty elektroniczne w postępowaniu lub w konkursie spełniają łącznie następujące wymagania:</w:t>
      </w:r>
    </w:p>
    <w:p>
      <w:pPr>
        <w:pStyle w:val="Default"/>
        <w:numPr>
          <w:ilvl w:val="0"/>
          <w:numId w:val="12"/>
        </w:numPr>
        <w:jc w:val="both"/>
        <w:rPr>
          <w:rFonts w:ascii="Arial" w:hAnsi="Arial" w:cs="Arial"/>
          <w:color w:val="auto"/>
          <w:sz w:val="22"/>
          <w:szCs w:val="22"/>
        </w:rPr>
      </w:pPr>
      <w:r>
        <w:rPr>
          <w:rFonts w:cs="Arial" w:ascii="Arial" w:hAnsi="Arial"/>
          <w:color w:val="auto"/>
          <w:sz w:val="22"/>
          <w:szCs w:val="22"/>
        </w:rPr>
        <w:t>są utrwalone w sposób umożliwiający ich wielokrotne odczytanie, zapisanie i powielenie, a także przekazanie przy użyciu środków komunikacji elektronicznej lub na informatycznym nośniku danych;</w:t>
      </w:r>
    </w:p>
    <w:p>
      <w:pPr>
        <w:pStyle w:val="Default"/>
        <w:numPr>
          <w:ilvl w:val="0"/>
          <w:numId w:val="12"/>
        </w:numPr>
        <w:jc w:val="both"/>
        <w:rPr>
          <w:rFonts w:ascii="Arial" w:hAnsi="Arial" w:cs="Arial"/>
          <w:color w:val="auto"/>
          <w:sz w:val="22"/>
          <w:szCs w:val="22"/>
        </w:rPr>
      </w:pPr>
      <w:r>
        <w:rPr>
          <w:rFonts w:cs="Arial" w:ascii="Arial" w:hAnsi="Arial"/>
          <w:color w:val="auto"/>
          <w:sz w:val="22"/>
          <w:szCs w:val="22"/>
        </w:rPr>
        <w:t>umożliwiają prezentację treści w postaci elektronicznej, w szczególności przez wyświetlenie tej treści na monitorze ekranowym;</w:t>
      </w:r>
    </w:p>
    <w:p>
      <w:pPr>
        <w:pStyle w:val="Default"/>
        <w:numPr>
          <w:ilvl w:val="0"/>
          <w:numId w:val="12"/>
        </w:numPr>
        <w:jc w:val="both"/>
        <w:rPr>
          <w:rFonts w:ascii="Arial" w:hAnsi="Arial" w:cs="Arial"/>
          <w:color w:val="auto"/>
          <w:sz w:val="22"/>
          <w:szCs w:val="22"/>
        </w:rPr>
      </w:pPr>
      <w:r>
        <w:rPr>
          <w:rFonts w:cs="Arial" w:ascii="Arial" w:hAnsi="Arial"/>
          <w:color w:val="auto"/>
          <w:sz w:val="22"/>
          <w:szCs w:val="22"/>
        </w:rPr>
        <w:t>umożliwiają prezentację treści w postaci papierowej, w szczególności za pomocą wydruku;</w:t>
      </w:r>
    </w:p>
    <w:p>
      <w:pPr>
        <w:pStyle w:val="Default"/>
        <w:numPr>
          <w:ilvl w:val="0"/>
          <w:numId w:val="12"/>
        </w:numPr>
        <w:jc w:val="both"/>
        <w:rPr>
          <w:rFonts w:ascii="Arial" w:hAnsi="Arial" w:cs="Arial"/>
          <w:color w:val="auto"/>
          <w:sz w:val="22"/>
          <w:szCs w:val="22"/>
        </w:rPr>
      </w:pPr>
      <w:r>
        <w:rPr>
          <w:rFonts w:cs="Arial" w:ascii="Arial" w:hAnsi="Arial"/>
          <w:color w:val="auto"/>
          <w:sz w:val="22"/>
          <w:szCs w:val="22"/>
        </w:rPr>
        <w:t>zawierają dane w układzie niepozostawiającym wątpliwości co do treści i kontekstu zapisanych informacji.</w:t>
      </w:r>
    </w:p>
    <w:p>
      <w:pPr>
        <w:pStyle w:val="Default"/>
        <w:numPr>
          <w:ilvl w:val="0"/>
          <w:numId w:val="11"/>
        </w:numPr>
        <w:jc w:val="both"/>
        <w:rPr>
          <w:rFonts w:ascii="Arial" w:hAnsi="Arial" w:cs="Arial"/>
          <w:color w:val="auto"/>
          <w:sz w:val="22"/>
          <w:szCs w:val="22"/>
        </w:rPr>
      </w:pPr>
      <w:r>
        <w:rPr>
          <w:rFonts w:cs="Arial" w:ascii="Arial" w:hAnsi="Arial"/>
          <w:color w:val="auto"/>
          <w:sz w:val="22"/>
          <w:szCs w:val="22"/>
        </w:rPr>
        <w:t>§ 12 -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pPr>
        <w:pStyle w:val="Default"/>
        <w:numPr>
          <w:ilvl w:val="0"/>
          <w:numId w:val="8"/>
        </w:numPr>
        <w:jc w:val="both"/>
        <w:rPr>
          <w:rFonts w:ascii="Arial" w:hAnsi="Arial" w:cs="Arial"/>
          <w:sz w:val="22"/>
          <w:szCs w:val="22"/>
        </w:rPr>
      </w:pPr>
      <w:r>
        <w:rPr>
          <w:rFonts w:cs="Arial" w:ascii="Arial" w:hAnsi="Arial"/>
          <w:sz w:val="22"/>
          <w:szCs w:val="22"/>
        </w:rPr>
        <w:t>Zamawiający określa niezbędne wymagania sprzętowo – aplikacyjne umożliwiające pracę na Platformie zakupowej, tj.:</w:t>
      </w:r>
    </w:p>
    <w:p>
      <w:pPr>
        <w:pStyle w:val="Default"/>
        <w:ind w:hanging="283" w:left="1134"/>
        <w:jc w:val="both"/>
        <w:rPr>
          <w:rFonts w:ascii="Arial" w:hAnsi="Arial" w:cs="Arial"/>
          <w:sz w:val="22"/>
          <w:szCs w:val="22"/>
        </w:rPr>
      </w:pPr>
      <w:r>
        <w:rPr>
          <w:rFonts w:cs="Arial" w:ascii="Arial" w:hAnsi="Arial"/>
          <w:sz w:val="22"/>
          <w:szCs w:val="22"/>
        </w:rPr>
        <w:t>-</w:t>
        <w:tab/>
        <w:t>stały dostęp do sieci Internet o gwarantowanej przepustowości nie mniejszej niż 512 kb/s,</w:t>
      </w:r>
    </w:p>
    <w:p>
      <w:pPr>
        <w:pStyle w:val="Default"/>
        <w:ind w:hanging="283" w:left="1134"/>
        <w:jc w:val="both"/>
        <w:rPr>
          <w:rFonts w:ascii="Arial" w:hAnsi="Arial" w:cs="Arial"/>
          <w:sz w:val="22"/>
          <w:szCs w:val="22"/>
        </w:rPr>
      </w:pPr>
      <w:r>
        <w:rPr>
          <w:rFonts w:cs="Arial" w:ascii="Arial" w:hAnsi="Arial"/>
          <w:sz w:val="22"/>
          <w:szCs w:val="22"/>
        </w:rPr>
        <w:t>-</w:t>
        <w:tab/>
        <w:t>komputer klasy PC lub MAC o następującej konfiguracji: pamięć min. 2 GB Ram, procesor Intel IV 2 GHZ lub jego nowsza wersja, jeden z systemów operacyjnych - MS Windows 7, Mac Os x 10.4, Linux, lub ich nowsze wersje,</w:t>
      </w:r>
    </w:p>
    <w:p>
      <w:pPr>
        <w:pStyle w:val="Default"/>
        <w:ind w:hanging="283" w:left="1134"/>
        <w:jc w:val="both"/>
        <w:rPr>
          <w:rFonts w:ascii="Arial" w:hAnsi="Arial" w:cs="Arial"/>
          <w:sz w:val="22"/>
          <w:szCs w:val="22"/>
        </w:rPr>
      </w:pPr>
      <w:r>
        <w:rPr>
          <w:rFonts w:cs="Arial" w:ascii="Arial" w:hAnsi="Arial"/>
          <w:sz w:val="22"/>
          <w:szCs w:val="22"/>
        </w:rPr>
        <w:t>-</w:t>
        <w:tab/>
        <w:t>zainstalowana dowolna przeglądarka internetowa, w przypadku Internet Explorer minimalnie wersja 10.0.,</w:t>
      </w:r>
    </w:p>
    <w:p>
      <w:pPr>
        <w:pStyle w:val="Default"/>
        <w:ind w:hanging="283" w:left="1134"/>
        <w:jc w:val="both"/>
        <w:rPr>
          <w:rFonts w:ascii="Arial" w:hAnsi="Arial" w:cs="Arial"/>
          <w:sz w:val="22"/>
          <w:szCs w:val="22"/>
        </w:rPr>
      </w:pPr>
      <w:r>
        <w:rPr>
          <w:rFonts w:cs="Arial" w:ascii="Arial" w:hAnsi="Arial"/>
          <w:sz w:val="22"/>
          <w:szCs w:val="22"/>
        </w:rPr>
        <w:t>-</w:t>
        <w:tab/>
        <w:t>włączona obsługa JavaScript,</w:t>
      </w:r>
    </w:p>
    <w:p>
      <w:pPr>
        <w:pStyle w:val="Default"/>
        <w:ind w:hanging="283" w:left="1134"/>
        <w:jc w:val="both"/>
        <w:rPr>
          <w:rFonts w:ascii="Arial" w:hAnsi="Arial" w:cs="Arial"/>
          <w:sz w:val="22"/>
          <w:szCs w:val="22"/>
        </w:rPr>
      </w:pPr>
      <w:r>
        <w:rPr>
          <w:rFonts w:cs="Arial" w:ascii="Arial" w:hAnsi="Arial"/>
          <w:sz w:val="22"/>
          <w:szCs w:val="22"/>
        </w:rPr>
        <w:t>-</w:t>
        <w:tab/>
        <w:t>zainstalowany program Adobe Acrobat Reader lub inny obsługujący format plików .pdf,</w:t>
      </w:r>
    </w:p>
    <w:p>
      <w:pPr>
        <w:pStyle w:val="Default"/>
        <w:ind w:hanging="283" w:left="1134"/>
        <w:jc w:val="both"/>
        <w:rPr>
          <w:rFonts w:ascii="Arial" w:hAnsi="Arial" w:cs="Arial"/>
          <w:sz w:val="22"/>
          <w:szCs w:val="22"/>
        </w:rPr>
      </w:pPr>
      <w:r>
        <w:rPr>
          <w:rFonts w:cs="Arial" w:ascii="Arial" w:hAnsi="Arial"/>
          <w:sz w:val="22"/>
          <w:szCs w:val="22"/>
        </w:rPr>
        <w:t>-</w:t>
        <w:tab/>
        <w:t>Platformazakupowa.pl działa według standardu przyjętego w komunikacji sieciowej - kodowanie UTF8,</w:t>
      </w:r>
    </w:p>
    <w:p>
      <w:pPr>
        <w:pStyle w:val="Default"/>
        <w:ind w:hanging="283" w:left="1134"/>
        <w:jc w:val="both"/>
        <w:rPr>
          <w:rFonts w:ascii="Arial" w:hAnsi="Arial" w:cs="Arial"/>
          <w:sz w:val="22"/>
          <w:szCs w:val="22"/>
        </w:rPr>
      </w:pPr>
      <w:r>
        <w:rPr>
          <w:rFonts w:cs="Arial" w:ascii="Arial" w:hAnsi="Arial"/>
          <w:sz w:val="22"/>
          <w:szCs w:val="22"/>
        </w:rPr>
        <w:t>-</w:t>
        <w:tab/>
        <w:t>oznaczenie czasu odbioru danych przez platformę zakupową stanowi datę oraz dokładny czas (hh:mm:ss) generowany wg. czasu lokalnego serwera synchronizowanego z zegarem Głównego Urzędu Miar.</w:t>
      </w:r>
    </w:p>
    <w:p>
      <w:pPr>
        <w:pStyle w:val="Default"/>
        <w:numPr>
          <w:ilvl w:val="0"/>
          <w:numId w:val="8"/>
        </w:numPr>
        <w:ind w:hanging="425" w:left="851"/>
        <w:jc w:val="both"/>
        <w:rPr>
          <w:rFonts w:ascii="Arial" w:hAnsi="Arial" w:cs="Arial"/>
          <w:sz w:val="22"/>
          <w:szCs w:val="22"/>
        </w:rPr>
      </w:pPr>
      <w:r>
        <w:rPr>
          <w:rFonts w:cs="Arial" w:ascii="Arial" w:hAnsi="Arial"/>
          <w:sz w:val="22"/>
          <w:szCs w:val="22"/>
        </w:rPr>
        <w:t xml:space="preserve">Wykonawca może powierzyć wykonanie części zamówienia podwykonawcy. </w:t>
      </w:r>
    </w:p>
    <w:p>
      <w:pPr>
        <w:pStyle w:val="Default"/>
        <w:ind w:left="851"/>
        <w:jc w:val="both"/>
        <w:rPr>
          <w:rFonts w:ascii="Arial" w:hAnsi="Arial" w:cs="Arial"/>
          <w:sz w:val="22"/>
          <w:szCs w:val="22"/>
        </w:rPr>
      </w:pPr>
      <w:r>
        <w:rPr>
          <w:rFonts w:cs="Arial" w:ascii="Arial" w:hAnsi="Arial"/>
          <w:sz w:val="22"/>
          <w:szCs w:val="22"/>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pPr>
        <w:pStyle w:val="Default"/>
        <w:ind w:left="851"/>
        <w:jc w:val="both"/>
        <w:rPr>
          <w:rFonts w:ascii="Arial" w:hAnsi="Arial" w:cs="Arial"/>
          <w:sz w:val="22"/>
          <w:szCs w:val="22"/>
        </w:rPr>
      </w:pPr>
      <w:r>
        <w:rPr>
          <w:rFonts w:cs="Arial" w:ascii="Arial" w:hAnsi="Arial"/>
          <w:sz w:val="22"/>
          <w:szCs w:val="22"/>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pPr>
        <w:pStyle w:val="Default"/>
        <w:ind w:left="851"/>
        <w:jc w:val="both"/>
        <w:rPr>
          <w:rFonts w:ascii="Arial" w:hAnsi="Arial" w:cs="Arial"/>
          <w:sz w:val="22"/>
          <w:szCs w:val="22"/>
        </w:rPr>
      </w:pPr>
      <w:r>
        <w:rPr>
          <w:rFonts w:cs="Arial" w:ascii="Arial" w:hAnsi="Arial"/>
          <w:sz w:val="22"/>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pPr>
        <w:pStyle w:val="Default"/>
        <w:ind w:left="851"/>
        <w:jc w:val="both"/>
        <w:rPr>
          <w:rFonts w:ascii="Arial" w:hAnsi="Arial" w:cs="Arial"/>
          <w:sz w:val="22"/>
          <w:szCs w:val="22"/>
        </w:rPr>
      </w:pPr>
      <w:r>
        <w:rPr>
          <w:rFonts w:cs="Arial" w:ascii="Arial" w:hAnsi="Arial"/>
          <w:sz w:val="22"/>
          <w:szCs w:val="22"/>
        </w:rPr>
        <w:t>Powierzenie wykonania części zamówienia podwykonawcom nie zwalnia Wykonawcy z odpowiedzialności za należyte wykonanie tego zamówienia.</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Sposób oraz termin składania ofert:</w:t>
      </w:r>
    </w:p>
    <w:p>
      <w:pPr>
        <w:pStyle w:val="Normal"/>
        <w:spacing w:lineRule="auto" w:line="240" w:before="0" w:after="0"/>
        <w:ind w:hanging="10" w:left="426" w:right="33"/>
        <w:rPr>
          <w:rFonts w:ascii="Arial" w:hAnsi="Arial" w:cs="Arial"/>
          <w:sz w:val="22"/>
        </w:rPr>
      </w:pPr>
      <w:r>
        <w:rPr>
          <w:rFonts w:cs="Arial" w:ascii="Arial" w:hAnsi="Arial"/>
          <w:sz w:val="22"/>
        </w:rPr>
        <w:t xml:space="preserve">Ofertę wraz z </w:t>
      </w:r>
      <w:r>
        <w:rPr>
          <w:rFonts w:cs="Arial" w:ascii="Arial" w:hAnsi="Arial"/>
          <w:color w:val="auto"/>
          <w:sz w:val="22"/>
        </w:rPr>
        <w:t xml:space="preserve">załącznikami należy złożyć za pośrednictwem Platformy Zakupowej </w:t>
      </w:r>
      <w:hyperlink r:id="rId14">
        <w:r>
          <w:rPr>
            <w:rStyle w:val="Hyperlink"/>
            <w:rFonts w:cs="Arial" w:ascii="Arial" w:hAnsi="Arial"/>
            <w:sz w:val="22"/>
          </w:rPr>
          <w:t>https://platformazakupowa.pl/transakcja/985140</w:t>
        </w:r>
      </w:hyperlink>
      <w:r>
        <w:rPr>
          <w:rFonts w:cs="Arial" w:ascii="Arial" w:hAnsi="Arial"/>
          <w:sz w:val="22"/>
        </w:rPr>
        <w:t xml:space="preserve"> </w:t>
      </w:r>
      <w:r>
        <w:rPr>
          <w:rFonts w:cs="Arial" w:ascii="Arial" w:hAnsi="Arial"/>
          <w:color w:val="auto"/>
          <w:sz w:val="22"/>
        </w:rPr>
        <w:t xml:space="preserve">w terminie do dnia </w:t>
      </w:r>
      <w:r>
        <w:rPr>
          <w:rFonts w:cs="Arial" w:ascii="Arial" w:hAnsi="Arial"/>
          <w:b/>
          <w:color w:val="auto"/>
          <w:sz w:val="22"/>
        </w:rPr>
        <w:t>28</w:t>
      </w:r>
      <w:r>
        <w:rPr>
          <w:rFonts w:cs="Arial" w:ascii="Arial" w:hAnsi="Arial"/>
          <w:b/>
          <w:bCs/>
          <w:color w:val="auto"/>
          <w:sz w:val="22"/>
        </w:rPr>
        <w:t>.10</w:t>
      </w:r>
      <w:r>
        <w:rPr>
          <w:rFonts w:cs="Arial" w:ascii="Arial" w:hAnsi="Arial"/>
          <w:b/>
          <w:color w:val="auto"/>
          <w:sz w:val="22"/>
        </w:rPr>
        <w:t>.2024 r. do godz. 10:00,00.</w:t>
      </w:r>
    </w:p>
    <w:p>
      <w:pPr>
        <w:pStyle w:val="Default"/>
        <w:ind w:left="426"/>
        <w:jc w:val="both"/>
        <w:rPr>
          <w:rFonts w:ascii="Arial" w:hAnsi="Arial" w:cs="Arial"/>
          <w:sz w:val="22"/>
          <w:szCs w:val="22"/>
        </w:rPr>
      </w:pPr>
      <w:r>
        <w:rPr>
          <w:rFonts w:cs="Arial" w:ascii="Arial" w:hAnsi="Arial"/>
          <w:sz w:val="22"/>
          <w:szCs w:val="22"/>
        </w:rPr>
        <w:t>Należy pamiętać, aby w przypadku zastosowania podpisu zewnętrznego do podpisania oferty dołączyć do pliku stanowiącego ofertę także pliku podpisującego, który generuje się automatycznie podczas złożenia podpisu.</w:t>
      </w:r>
    </w:p>
    <w:p>
      <w:pPr>
        <w:pStyle w:val="Default"/>
        <w:ind w:left="426"/>
        <w:jc w:val="both"/>
        <w:rPr>
          <w:rFonts w:ascii="Arial" w:hAnsi="Arial" w:cs="Arial"/>
          <w:sz w:val="22"/>
          <w:szCs w:val="22"/>
        </w:rPr>
      </w:pPr>
      <w:r>
        <w:rPr>
          <w:rFonts w:cs="Arial" w:ascii="Arial" w:hAnsi="Arial"/>
          <w:sz w:val="22"/>
          <w:szCs w:val="22"/>
        </w:rPr>
        <w:t>Występuje limit objętości plików lub spakowanych folderów w zakresie całej oferty lub wniosku do ilości 10 plików lub spakowanych folderów przy maksymalnej wielkości 150 MB (pliki można spakować dzieląc je na mniejsze paczki po np. 150 MB każda).</w:t>
      </w:r>
    </w:p>
    <w:p>
      <w:pPr>
        <w:pStyle w:val="Default"/>
        <w:ind w:left="426"/>
        <w:jc w:val="both"/>
        <w:rPr>
          <w:rFonts w:ascii="Arial" w:hAnsi="Arial" w:cs="Arial"/>
          <w:sz w:val="22"/>
          <w:szCs w:val="22"/>
        </w:rPr>
      </w:pPr>
      <w:r>
        <w:rPr>
          <w:rFonts w:cs="Arial" w:ascii="Arial" w:hAnsi="Arial"/>
          <w:sz w:val="22"/>
          <w:szCs w:val="22"/>
        </w:rPr>
        <w:t>Przy dużych plikach kluczowe jest łącze internetowe i dostępna przepustowość łącza po stronie serwera platformazakupowa.pl oraz użytkownika (Proces przeciwny do pobierania danych, polegający na wysyłaniu w tym przypadku plików z komputera użytkownika do systemu platformazakupowa.pl. Zaleca się, aby łączna objętość plików nie była większa niż 0,5 GB, gdyż w przypadku braku wystarczającego transferu danych ich wgranie do systemu może zająć bardzo dużo czasu).</w:t>
      </w:r>
    </w:p>
    <w:p>
      <w:pPr>
        <w:pStyle w:val="Default"/>
        <w:ind w:left="426"/>
        <w:jc w:val="both"/>
        <w:rPr>
          <w:rFonts w:ascii="Arial" w:hAnsi="Arial" w:cs="Arial"/>
          <w:sz w:val="22"/>
          <w:szCs w:val="22"/>
        </w:rPr>
      </w:pPr>
      <w:r>
        <w:rPr>
          <w:rFonts w:cs="Arial" w:ascii="Arial" w:hAnsi="Arial"/>
          <w:sz w:val="22"/>
          <w:szCs w:val="22"/>
        </w:rPr>
        <w:t>Za datę przekazania oferty lub wniosków przyjmuje się datę ich przekazania w systemie poprzez kliknięcie przycisku Złóż ofertę w drugim kroku i wyświetlaniu komunikatu, że oferta została złożona.</w:t>
      </w:r>
    </w:p>
    <w:p>
      <w:pPr>
        <w:pStyle w:val="Default"/>
        <w:ind w:left="426"/>
        <w:jc w:val="both"/>
        <w:rPr>
          <w:rFonts w:ascii="Arial" w:hAnsi="Arial" w:cs="Arial"/>
          <w:sz w:val="22"/>
          <w:szCs w:val="22"/>
        </w:rPr>
      </w:pPr>
      <w:r>
        <w:rPr>
          <w:rFonts w:cs="Arial" w:ascii="Arial" w:hAnsi="Arial"/>
          <w:sz w:val="22"/>
          <w:szCs w:val="22"/>
        </w:rPr>
        <w:t>Czas wyświetlany na platformazakupowa.pl synchronizuje się automatycznie z serwerem Głównego Urzędu Miar.</w:t>
      </w:r>
    </w:p>
    <w:p>
      <w:pPr>
        <w:pStyle w:val="Default"/>
        <w:ind w:left="426"/>
        <w:jc w:val="both"/>
        <w:rPr>
          <w:rFonts w:ascii="Arial" w:hAnsi="Arial" w:cs="Arial"/>
          <w:sz w:val="22"/>
          <w:szCs w:val="22"/>
        </w:rPr>
      </w:pPr>
      <w:r>
        <w:rPr>
          <w:rFonts w:cs="Arial" w:ascii="Arial" w:hAnsi="Arial"/>
          <w:sz w:val="22"/>
          <w:szCs w:val="22"/>
        </w:rPr>
        <w:t>Każdy Wykonawca może złożyć tylko jedną ofertę. Złożenie większej liczby ofert lub oferty zawierającej rozwiązania alternatywne lub oferty wariantowej, spowoduje odrzucenie wszystkich ofert złożonych przez danego Wykonawcę.</w:t>
      </w:r>
    </w:p>
    <w:p>
      <w:pPr>
        <w:pStyle w:val="Default"/>
        <w:ind w:left="426"/>
        <w:jc w:val="both"/>
        <w:rPr>
          <w:rFonts w:ascii="Arial" w:hAnsi="Arial" w:cs="Arial"/>
          <w:sz w:val="22"/>
          <w:szCs w:val="22"/>
        </w:rPr>
      </w:pPr>
      <w:r>
        <w:rPr>
          <w:rFonts w:cs="Arial" w:ascii="Arial" w:hAnsi="Arial"/>
          <w:sz w:val="22"/>
          <w:szCs w:val="22"/>
        </w:rPr>
        <w:t>W przypadku złożenia przez Wykonawcę oferty po terminie składania ofert, Zamawiający odrzuci ofertę Wykonawcy.</w:t>
      </w:r>
    </w:p>
    <w:p>
      <w:pPr>
        <w:pStyle w:val="Default"/>
        <w:ind w:left="426"/>
        <w:jc w:val="both"/>
        <w:rPr>
          <w:rFonts w:ascii="Arial" w:hAnsi="Arial" w:cs="Arial"/>
          <w:sz w:val="22"/>
          <w:szCs w:val="22"/>
        </w:rPr>
      </w:pPr>
      <w:r>
        <w:rPr>
          <w:rFonts w:cs="Arial" w:ascii="Arial" w:hAnsi="Arial"/>
          <w:sz w:val="22"/>
          <w:szCs w:val="22"/>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pPr>
        <w:pStyle w:val="Default"/>
        <w:ind w:left="426"/>
        <w:jc w:val="both"/>
        <w:rPr>
          <w:rFonts w:ascii="Arial" w:hAnsi="Arial" w:cs="Arial"/>
          <w:sz w:val="22"/>
          <w:szCs w:val="22"/>
        </w:rPr>
      </w:pPr>
      <w:r>
        <w:rPr>
          <w:rFonts w:cs="Arial" w:ascii="Arial" w:hAnsi="Arial"/>
          <w:sz w:val="22"/>
          <w:szCs w:val="22"/>
        </w:rPr>
        <w:t xml:space="preserve">Wykonawca może do upływu terminu składania ofert wycofać złożoną przez siebie ofertę. Sposób wycofania oferty został opisany w instrukcjach </w:t>
      </w:r>
      <w:r>
        <w:rPr>
          <w:rFonts w:cs="Arial" w:ascii="Arial" w:hAnsi="Arial"/>
          <w:color w:val="auto"/>
          <w:sz w:val="22"/>
          <w:szCs w:val="22"/>
        </w:rPr>
        <w:t xml:space="preserve">dla Wykonawców zawartych na stronie </w:t>
      </w:r>
      <w:hyperlink r:id="rId15">
        <w:r>
          <w:rPr>
            <w:rStyle w:val="Hyperlink"/>
            <w:rFonts w:cs="Arial" w:ascii="Arial" w:hAnsi="Arial"/>
            <w:color w:themeColor="accent1" w:val="4472C4"/>
            <w:sz w:val="22"/>
            <w:szCs w:val="22"/>
          </w:rPr>
          <w:t>https://platformazakupowa.pl/strona/45-instrukcje</w:t>
        </w:r>
      </w:hyperlink>
      <w:r>
        <w:rPr>
          <w:rStyle w:val="Hyperlink"/>
          <w:rFonts w:cs="Arial" w:ascii="Arial" w:hAnsi="Arial"/>
          <w:color w:themeColor="accent1" w:val="4472C4"/>
          <w:sz w:val="22"/>
          <w:szCs w:val="22"/>
        </w:rPr>
        <w:t>.</w:t>
      </w:r>
    </w:p>
    <w:p>
      <w:pPr>
        <w:pStyle w:val="Default"/>
        <w:ind w:hanging="426" w:left="852"/>
        <w:jc w:val="both"/>
        <w:rPr>
          <w:rFonts w:ascii="Arial" w:hAnsi="Arial" w:cs="Arial"/>
          <w:sz w:val="22"/>
          <w:szCs w:val="22"/>
        </w:rPr>
      </w:pPr>
      <w:r>
        <w:rPr>
          <w:rFonts w:cs="Arial" w:ascii="Arial" w:hAnsi="Arial"/>
          <w:sz w:val="22"/>
          <w:szCs w:val="22"/>
        </w:rPr>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Termin otwarcia ofert:</w:t>
      </w:r>
    </w:p>
    <w:p>
      <w:pPr>
        <w:pStyle w:val="Normal"/>
        <w:spacing w:lineRule="auto" w:line="240" w:before="0" w:after="0"/>
        <w:ind w:hanging="141" w:left="567" w:right="33"/>
        <w:rPr>
          <w:rFonts w:ascii="Arial" w:hAnsi="Arial" w:cs="Arial"/>
          <w:sz w:val="22"/>
        </w:rPr>
      </w:pPr>
      <w:r>
        <w:rPr>
          <w:rFonts w:cs="Arial" w:ascii="Arial" w:hAnsi="Arial"/>
          <w:sz w:val="22"/>
        </w:rPr>
        <w:t xml:space="preserve">Otwarcie ofert </w:t>
      </w:r>
      <w:r>
        <w:rPr>
          <w:rFonts w:cs="Arial" w:ascii="Arial" w:hAnsi="Arial"/>
          <w:color w:val="auto"/>
          <w:sz w:val="22"/>
        </w:rPr>
        <w:t>nastąpi w dniu 28</w:t>
      </w:r>
      <w:r>
        <w:rPr>
          <w:rFonts w:cs="Arial" w:ascii="Arial" w:hAnsi="Arial"/>
          <w:bCs/>
          <w:color w:val="auto"/>
          <w:sz w:val="22"/>
        </w:rPr>
        <w:t>.10</w:t>
      </w:r>
      <w:r>
        <w:rPr>
          <w:rFonts w:cs="Arial" w:ascii="Arial" w:hAnsi="Arial"/>
          <w:color w:val="auto"/>
          <w:sz w:val="22"/>
        </w:rPr>
        <w:t>.2024</w:t>
      </w:r>
      <w:r>
        <w:rPr>
          <w:rFonts w:cs="Arial" w:ascii="Arial" w:hAnsi="Arial"/>
          <w:b/>
          <w:color w:val="auto"/>
          <w:sz w:val="22"/>
        </w:rPr>
        <w:t xml:space="preserve"> </w:t>
      </w:r>
      <w:r>
        <w:rPr>
          <w:rFonts w:cs="Arial" w:ascii="Arial" w:hAnsi="Arial"/>
          <w:color w:val="auto"/>
          <w:sz w:val="22"/>
        </w:rPr>
        <w:t>r. o godzinie 10:05,00.</w:t>
      </w:r>
    </w:p>
    <w:p>
      <w:pPr>
        <w:pStyle w:val="Default"/>
        <w:ind w:left="426"/>
        <w:jc w:val="both"/>
        <w:rPr>
          <w:rFonts w:ascii="Arial" w:hAnsi="Arial" w:cs="Arial"/>
          <w:sz w:val="22"/>
          <w:szCs w:val="22"/>
        </w:rPr>
      </w:pPr>
      <w:r>
        <w:rPr>
          <w:rFonts w:cs="Arial" w:ascii="Arial" w:hAnsi="Arial"/>
          <w:sz w:val="22"/>
        </w:rPr>
        <w:t>Otwarcie ofert następuje poprzez użycie Platformy i dokonywane jest poprzez odszyfrowanie i otwarcie ofert za pomocą Platformy.</w:t>
      </w:r>
      <w:r>
        <w:rPr>
          <w:rFonts w:cs="Arial" w:ascii="Arial" w:hAnsi="Arial"/>
          <w:sz w:val="22"/>
          <w:szCs w:val="22"/>
        </w:rPr>
        <w:t xml:space="preserve"> Zamawiający nie przewiduje publicznej sesji otwarcia ofert w siedzibie Zamawiającego.</w:t>
      </w:r>
    </w:p>
    <w:p>
      <w:pPr>
        <w:pStyle w:val="Default"/>
        <w:ind w:left="426"/>
        <w:jc w:val="both"/>
        <w:rPr>
          <w:rFonts w:ascii="Arial" w:hAnsi="Arial" w:cs="Arial"/>
          <w:sz w:val="22"/>
          <w:szCs w:val="22"/>
        </w:rPr>
      </w:pPr>
      <w:r>
        <w:rPr>
          <w:rFonts w:cs="Arial" w:ascii="Arial" w:hAnsi="Arial"/>
          <w:sz w:val="22"/>
          <w:szCs w:val="22"/>
        </w:rPr>
        <w:t>Zamawiający, najpóźniej przed otwarciem ofert, udostępnia na stronie internetowej prowadzonego postępowania informację o kwocie, jaką zamierza przeznaczyć na sfinansowanie zamówienia.</w:t>
      </w:r>
    </w:p>
    <w:p>
      <w:pPr>
        <w:pStyle w:val="Default"/>
        <w:ind w:left="426"/>
        <w:jc w:val="both"/>
        <w:rPr>
          <w:rFonts w:ascii="Arial" w:hAnsi="Arial" w:cs="Arial"/>
          <w:sz w:val="22"/>
          <w:szCs w:val="22"/>
        </w:rPr>
      </w:pPr>
      <w:r>
        <w:rPr>
          <w:rFonts w:cs="Arial" w:ascii="Arial" w:hAnsi="Arial"/>
          <w:sz w:val="22"/>
          <w:szCs w:val="22"/>
        </w:rPr>
        <w:t>Zamawiający, niezwłocznie po otwarciu ofert, udostępnia na stronie internetowej prowadzonego postępowania informacje o:</w:t>
      </w:r>
    </w:p>
    <w:p>
      <w:pPr>
        <w:pStyle w:val="Default"/>
        <w:ind w:left="426"/>
        <w:jc w:val="both"/>
        <w:rPr>
          <w:rFonts w:ascii="Arial" w:hAnsi="Arial" w:cs="Arial"/>
          <w:sz w:val="22"/>
          <w:szCs w:val="22"/>
        </w:rPr>
      </w:pPr>
      <w:r>
        <w:rPr>
          <w:rFonts w:cs="Arial" w:ascii="Arial" w:hAnsi="Arial"/>
          <w:sz w:val="22"/>
          <w:szCs w:val="22"/>
        </w:rPr>
        <w:t>1) nazwach albo imionach i nazwiskach oraz siedzibach lub miejscach prowadzonej działalności gospodarczej albo miejscach zamieszkania wykonawców, których oferty zostały otwarte;</w:t>
      </w:r>
    </w:p>
    <w:p>
      <w:pPr>
        <w:pStyle w:val="Default"/>
        <w:ind w:left="426"/>
        <w:jc w:val="both"/>
        <w:rPr>
          <w:rFonts w:ascii="Arial" w:hAnsi="Arial" w:cs="Arial"/>
          <w:sz w:val="22"/>
          <w:szCs w:val="22"/>
        </w:rPr>
      </w:pPr>
      <w:r>
        <w:rPr>
          <w:rFonts w:cs="Arial" w:ascii="Arial" w:hAnsi="Arial"/>
          <w:sz w:val="22"/>
          <w:szCs w:val="22"/>
        </w:rPr>
        <w:t>2) cenach lub kosztach zawartych w ofertach.</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Podstawy wykluczenia, o których mowa w art. 108 ust. 1 oraz podstawy wykluczenia, o których mowa w art. 109 ust. 1, jeżeli zamawiający je przewiduje:</w:t>
      </w:r>
    </w:p>
    <w:p>
      <w:pPr>
        <w:pStyle w:val="Default"/>
        <w:ind w:left="426"/>
        <w:jc w:val="both"/>
        <w:rPr>
          <w:rFonts w:ascii="Arial" w:hAnsi="Arial" w:cs="Arial"/>
          <w:b/>
          <w:sz w:val="22"/>
          <w:szCs w:val="22"/>
        </w:rPr>
      </w:pPr>
      <w:r>
        <w:rPr>
          <w:rFonts w:cs="Arial" w:ascii="Arial" w:hAnsi="Arial"/>
          <w:b/>
          <w:sz w:val="22"/>
          <w:szCs w:val="22"/>
        </w:rPr>
        <w:t>O udzielenie zamówienia mogą ubiegać się wykonawcy, którzy nie podlegają wykluczeniu.</w:t>
      </w:r>
    </w:p>
    <w:p>
      <w:pPr>
        <w:pStyle w:val="Default"/>
        <w:ind w:hanging="426" w:left="852"/>
        <w:jc w:val="both"/>
        <w:rPr>
          <w:rFonts w:ascii="Arial" w:hAnsi="Arial" w:cs="Arial"/>
          <w:b/>
          <w:sz w:val="22"/>
          <w:szCs w:val="22"/>
        </w:rPr>
      </w:pPr>
      <w:r>
        <w:rPr>
          <w:rFonts w:cs="Arial" w:ascii="Arial" w:hAnsi="Arial"/>
          <w:b/>
          <w:sz w:val="22"/>
          <w:szCs w:val="22"/>
        </w:rPr>
      </w:r>
    </w:p>
    <w:p>
      <w:pPr>
        <w:pStyle w:val="Default"/>
        <w:ind w:hanging="426" w:left="852"/>
        <w:jc w:val="both"/>
        <w:rPr>
          <w:rFonts w:ascii="Arial" w:hAnsi="Arial" w:cs="Arial"/>
          <w:b/>
          <w:sz w:val="22"/>
          <w:szCs w:val="22"/>
        </w:rPr>
      </w:pPr>
      <w:r>
        <w:rPr>
          <w:rFonts w:cs="Arial" w:ascii="Arial" w:hAnsi="Arial"/>
          <w:b/>
          <w:sz w:val="22"/>
          <w:szCs w:val="22"/>
        </w:rPr>
        <w:t>A.</w:t>
        <w:tab/>
        <w:t>Na podstawie art. 108 ust. 1 ustawy Pzp z postępowania o udzielenie zamówienia Zamawiający wykluczy wykonawcę:</w:t>
      </w:r>
    </w:p>
    <w:p>
      <w:pPr>
        <w:pStyle w:val="Default"/>
        <w:ind w:hanging="426" w:left="852"/>
        <w:jc w:val="both"/>
        <w:rPr>
          <w:rFonts w:ascii="Arial" w:hAnsi="Arial" w:cs="Arial"/>
          <w:sz w:val="22"/>
          <w:szCs w:val="22"/>
        </w:rPr>
      </w:pPr>
      <w:r>
        <w:rPr>
          <w:rFonts w:cs="Arial" w:ascii="Arial" w:hAnsi="Arial"/>
          <w:sz w:val="22"/>
          <w:szCs w:val="22"/>
        </w:rPr>
        <w:t>1)</w:t>
        <w:tab/>
        <w:t>będącego osobą fizyczną, którego prawomocnie skazano za przestępstwo:</w:t>
      </w:r>
    </w:p>
    <w:p>
      <w:pPr>
        <w:pStyle w:val="Default"/>
        <w:ind w:hanging="425" w:left="1276"/>
        <w:jc w:val="both"/>
        <w:rPr>
          <w:rFonts w:ascii="Arial" w:hAnsi="Arial" w:cs="Arial"/>
          <w:sz w:val="22"/>
          <w:szCs w:val="22"/>
        </w:rPr>
      </w:pPr>
      <w:r>
        <w:rPr>
          <w:rFonts w:cs="Arial" w:ascii="Arial" w:hAnsi="Arial"/>
          <w:sz w:val="22"/>
          <w:szCs w:val="22"/>
        </w:rPr>
        <w:t>a)</w:t>
        <w:tab/>
        <w:t>udziału w zorganizowanej grupie przestępczej albo związku mającym na celu popełnienie przestępstwa lub przestępstwa skarbowego, o którym mowa w art. 258 Kodeksu karnego,</w:t>
      </w:r>
    </w:p>
    <w:p>
      <w:pPr>
        <w:pStyle w:val="Default"/>
        <w:ind w:hanging="425" w:left="1276"/>
        <w:jc w:val="both"/>
        <w:rPr>
          <w:rFonts w:ascii="Arial" w:hAnsi="Arial" w:cs="Arial"/>
          <w:sz w:val="22"/>
          <w:szCs w:val="22"/>
        </w:rPr>
      </w:pPr>
      <w:r>
        <w:rPr>
          <w:rFonts w:cs="Arial" w:ascii="Arial" w:hAnsi="Arial"/>
          <w:sz w:val="22"/>
          <w:szCs w:val="22"/>
        </w:rPr>
        <w:t>b)</w:t>
        <w:tab/>
        <w:t>handlu ludźmi, o którym mowa w art. 189a Kodeksu karnego,</w:t>
      </w:r>
    </w:p>
    <w:p>
      <w:pPr>
        <w:pStyle w:val="Default"/>
        <w:ind w:hanging="425" w:left="1276"/>
        <w:jc w:val="both"/>
        <w:rPr>
          <w:rFonts w:ascii="Arial" w:hAnsi="Arial" w:cs="Arial"/>
          <w:sz w:val="22"/>
          <w:szCs w:val="22"/>
        </w:rPr>
      </w:pPr>
      <w:r>
        <w:rPr>
          <w:rFonts w:cs="Arial" w:ascii="Arial" w:hAnsi="Arial"/>
          <w:sz w:val="22"/>
          <w:szCs w:val="22"/>
        </w:rPr>
        <w:t>c)</w:t>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pPr>
        <w:pStyle w:val="Default"/>
        <w:ind w:hanging="425" w:left="1276"/>
        <w:jc w:val="both"/>
        <w:rPr>
          <w:rFonts w:ascii="Arial" w:hAnsi="Arial" w:cs="Arial"/>
          <w:sz w:val="22"/>
          <w:szCs w:val="22"/>
        </w:rPr>
      </w:pPr>
      <w:r>
        <w:rPr>
          <w:rFonts w:cs="Arial" w:ascii="Arial" w:hAnsi="Arial"/>
          <w:sz w:val="22"/>
          <w:szCs w:val="22"/>
        </w:rPr>
        <w:t>d)</w:t>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Default"/>
        <w:ind w:hanging="425" w:left="1276"/>
        <w:jc w:val="both"/>
        <w:rPr>
          <w:rFonts w:ascii="Arial" w:hAnsi="Arial" w:cs="Arial"/>
          <w:sz w:val="22"/>
          <w:szCs w:val="22"/>
        </w:rPr>
      </w:pPr>
      <w:r>
        <w:rPr>
          <w:rFonts w:cs="Arial" w:ascii="Arial" w:hAnsi="Arial"/>
          <w:sz w:val="22"/>
          <w:szCs w:val="22"/>
        </w:rPr>
        <w:t>e)</w:t>
        <w:tab/>
        <w:t>o charakterze terrorystycznym, o którym mowa w art. 115 § 20 Kodeksu karnego, lub mające na celu popełnienie tego przestępstwa,</w:t>
      </w:r>
    </w:p>
    <w:p>
      <w:pPr>
        <w:pStyle w:val="Default"/>
        <w:ind w:hanging="425" w:left="1276"/>
        <w:jc w:val="both"/>
        <w:rPr>
          <w:rFonts w:ascii="Arial" w:hAnsi="Arial" w:cs="Arial"/>
          <w:sz w:val="22"/>
          <w:szCs w:val="22"/>
        </w:rPr>
      </w:pPr>
      <w:r>
        <w:rPr>
          <w:rFonts w:cs="Arial" w:ascii="Arial" w:hAnsi="Arial"/>
          <w:sz w:val="22"/>
          <w:szCs w:val="22"/>
        </w:rPr>
        <w:t>f)</w:t>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pPr>
        <w:pStyle w:val="Default"/>
        <w:ind w:hanging="425" w:left="1276"/>
        <w:jc w:val="both"/>
        <w:rPr>
          <w:rFonts w:ascii="Arial" w:hAnsi="Arial" w:cs="Arial"/>
          <w:sz w:val="22"/>
          <w:szCs w:val="22"/>
        </w:rPr>
      </w:pPr>
      <w:r>
        <w:rPr>
          <w:rFonts w:cs="Arial" w:ascii="Arial" w:hAnsi="Arial"/>
          <w:sz w:val="22"/>
          <w:szCs w:val="22"/>
        </w:rPr>
        <w:t>g)</w:t>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Default"/>
        <w:ind w:hanging="425" w:left="1276"/>
        <w:jc w:val="both"/>
        <w:rPr>
          <w:rFonts w:ascii="Arial" w:hAnsi="Arial" w:cs="Arial"/>
          <w:sz w:val="22"/>
          <w:szCs w:val="22"/>
        </w:rPr>
      </w:pPr>
      <w:r>
        <w:rPr>
          <w:rFonts w:cs="Arial" w:ascii="Arial" w:hAnsi="Arial"/>
          <w:sz w:val="22"/>
          <w:szCs w:val="22"/>
        </w:rPr>
        <w:t>h)</w:t>
        <w:tab/>
        <w:t>o którym mowa w art. 9 ust. 1 i 3 lub art. 10 ustawy z dnia 15 czerwca 2012 r. o skutkach powierzania wykonywania pracy cudzoziemcom przebywającym wbrew przepisom na terytorium Rzeczypospolitej Polskiej</w:t>
      </w:r>
    </w:p>
    <w:p>
      <w:pPr>
        <w:pStyle w:val="Default"/>
        <w:ind w:hanging="425" w:left="1276"/>
        <w:jc w:val="both"/>
        <w:rPr>
          <w:rFonts w:ascii="Arial" w:hAnsi="Arial" w:cs="Arial"/>
          <w:sz w:val="22"/>
          <w:szCs w:val="22"/>
        </w:rPr>
      </w:pPr>
      <w:r>
        <w:rPr>
          <w:rFonts w:cs="Arial" w:ascii="Arial" w:hAnsi="Arial"/>
          <w:sz w:val="22"/>
          <w:szCs w:val="22"/>
        </w:rPr>
        <w:t>–</w:t>
      </w:r>
      <w:r>
        <w:rPr>
          <w:rFonts w:cs="Arial" w:ascii="Arial" w:hAnsi="Arial"/>
          <w:sz w:val="22"/>
          <w:szCs w:val="22"/>
        </w:rPr>
        <w:tab/>
        <w:t>lub za odpowiedni czyn zabroniony określony w przepisach prawa obcego;</w:t>
      </w:r>
    </w:p>
    <w:p>
      <w:pPr>
        <w:pStyle w:val="Default"/>
        <w:ind w:hanging="426" w:left="852"/>
        <w:jc w:val="both"/>
        <w:rPr>
          <w:rFonts w:ascii="Arial" w:hAnsi="Arial" w:cs="Arial"/>
          <w:sz w:val="22"/>
          <w:szCs w:val="22"/>
        </w:rPr>
      </w:pPr>
      <w:r>
        <w:rPr>
          <w:rFonts w:cs="Arial" w:ascii="Arial" w:hAnsi="Arial"/>
          <w:sz w:val="22"/>
          <w:szCs w:val="22"/>
        </w:rPr>
        <w:t>2)</w:t>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ppkt 1;</w:t>
      </w:r>
    </w:p>
    <w:p>
      <w:pPr>
        <w:pStyle w:val="Default"/>
        <w:ind w:hanging="426" w:left="852"/>
        <w:jc w:val="both"/>
        <w:rPr>
          <w:rFonts w:ascii="Arial" w:hAnsi="Arial" w:cs="Arial"/>
          <w:sz w:val="22"/>
          <w:szCs w:val="22"/>
        </w:rPr>
      </w:pPr>
      <w:r>
        <w:rPr>
          <w:rFonts w:cs="Arial" w:ascii="Arial" w:hAnsi="Arial"/>
          <w:sz w:val="22"/>
          <w:szCs w:val="22"/>
        </w:rPr>
        <w:t>3)</w:t>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Default"/>
        <w:ind w:hanging="426" w:left="852"/>
        <w:jc w:val="both"/>
        <w:rPr>
          <w:rFonts w:ascii="Arial" w:hAnsi="Arial" w:cs="Arial"/>
          <w:sz w:val="22"/>
          <w:szCs w:val="22"/>
        </w:rPr>
      </w:pPr>
      <w:r>
        <w:rPr>
          <w:rFonts w:cs="Arial" w:ascii="Arial" w:hAnsi="Arial"/>
          <w:sz w:val="22"/>
          <w:szCs w:val="22"/>
        </w:rPr>
        <w:t>4)</w:t>
        <w:tab/>
        <w:t>wobec którego prawomocnie orzeczono zakaz ubiegania się o zamówienia publiczne;</w:t>
      </w:r>
    </w:p>
    <w:p>
      <w:pPr>
        <w:pStyle w:val="Default"/>
        <w:ind w:hanging="426" w:left="852"/>
        <w:jc w:val="both"/>
        <w:rPr>
          <w:rFonts w:ascii="Arial" w:hAnsi="Arial" w:cs="Arial"/>
          <w:sz w:val="22"/>
          <w:szCs w:val="22"/>
        </w:rPr>
      </w:pPr>
      <w:r>
        <w:rPr>
          <w:rFonts w:cs="Arial" w:ascii="Arial" w:hAnsi="Arial"/>
          <w:sz w:val="22"/>
          <w:szCs w:val="22"/>
        </w:rPr>
        <w:t>5)</w:t>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Default"/>
        <w:ind w:hanging="426" w:left="852"/>
        <w:jc w:val="both"/>
        <w:rPr>
          <w:rFonts w:ascii="Arial" w:hAnsi="Arial" w:cs="Arial"/>
          <w:sz w:val="22"/>
          <w:szCs w:val="22"/>
        </w:rPr>
      </w:pPr>
      <w:r>
        <w:rPr>
          <w:rFonts w:cs="Arial" w:ascii="Arial" w:hAnsi="Arial"/>
          <w:sz w:val="22"/>
          <w:szCs w:val="22"/>
        </w:rPr>
        <w:t>6)</w:t>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Default"/>
        <w:ind w:hanging="426" w:left="852"/>
        <w:jc w:val="both"/>
        <w:rPr>
          <w:rFonts w:ascii="Arial" w:hAnsi="Arial" w:cs="Arial"/>
          <w:sz w:val="22"/>
          <w:szCs w:val="22"/>
        </w:rPr>
      </w:pPr>
      <w:r>
        <w:rPr>
          <w:rFonts w:cs="Arial" w:ascii="Arial" w:hAnsi="Arial"/>
          <w:sz w:val="22"/>
          <w:szCs w:val="22"/>
        </w:rPr>
      </w:r>
    </w:p>
    <w:p>
      <w:pPr>
        <w:pStyle w:val="Default"/>
        <w:ind w:hanging="426" w:left="852"/>
        <w:jc w:val="both"/>
        <w:rPr>
          <w:rFonts w:ascii="Arial" w:hAnsi="Arial" w:cs="Arial"/>
          <w:b/>
          <w:color w:val="auto"/>
          <w:sz w:val="22"/>
          <w:szCs w:val="22"/>
        </w:rPr>
      </w:pPr>
      <w:r>
        <w:rPr>
          <w:rFonts w:cs="Arial" w:ascii="Arial" w:hAnsi="Arial"/>
          <w:b/>
          <w:color w:val="auto"/>
          <w:sz w:val="22"/>
          <w:szCs w:val="22"/>
        </w:rPr>
        <w:t>B.</w:t>
        <w:tab/>
        <w:t>Zamawiający z postępowania o udzielenie zamówienia Zamawiający wykluczy wykonawcę na podstawie art. 109 ust. 1 ustawy Pzp pkt:</w:t>
      </w:r>
    </w:p>
    <w:p>
      <w:pPr>
        <w:pStyle w:val="Default"/>
        <w:ind w:hanging="426" w:left="852"/>
        <w:rPr>
          <w:rFonts w:ascii="Arial" w:hAnsi="Arial" w:cs="Arial"/>
          <w:color w:val="auto"/>
          <w:sz w:val="22"/>
          <w:szCs w:val="22"/>
        </w:rPr>
      </w:pPr>
      <w:r>
        <w:rPr>
          <w:rFonts w:cs="Arial" w:ascii="Arial" w:hAnsi="Arial"/>
          <w:color w:val="auto"/>
          <w:sz w:val="22"/>
          <w:szCs w:val="22"/>
        </w:rPr>
        <w:t>5)</w:t>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Default"/>
        <w:ind w:hanging="426" w:left="852"/>
        <w:rPr>
          <w:rFonts w:ascii="Arial" w:hAnsi="Arial" w:cs="Arial"/>
          <w:color w:val="auto"/>
          <w:sz w:val="22"/>
          <w:szCs w:val="22"/>
        </w:rPr>
      </w:pPr>
      <w:r>
        <w:rPr>
          <w:rFonts w:cs="Arial" w:ascii="Arial" w:hAnsi="Arial"/>
          <w:color w:val="auto"/>
          <w:sz w:val="22"/>
          <w:szCs w:val="22"/>
        </w:rPr>
        <w:t>7)</w:t>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pPr>
        <w:pStyle w:val="Default"/>
        <w:ind w:hanging="426" w:left="852"/>
        <w:jc w:val="both"/>
        <w:rPr>
          <w:rFonts w:ascii="Arial" w:hAnsi="Arial" w:cs="Arial"/>
          <w:sz w:val="22"/>
          <w:szCs w:val="22"/>
        </w:rPr>
      </w:pPr>
      <w:r>
        <w:rPr>
          <w:rFonts w:cs="Arial" w:ascii="Arial" w:hAnsi="Arial"/>
          <w:sz w:val="22"/>
          <w:szCs w:val="22"/>
        </w:rPr>
      </w:r>
    </w:p>
    <w:p>
      <w:pPr>
        <w:pStyle w:val="Default"/>
        <w:ind w:hanging="426" w:left="852"/>
        <w:jc w:val="both"/>
        <w:rPr>
          <w:rFonts w:ascii="Arial" w:hAnsi="Arial" w:cs="Arial"/>
          <w:b/>
          <w:sz w:val="22"/>
          <w:szCs w:val="22"/>
        </w:rPr>
      </w:pPr>
      <w:r>
        <w:rPr>
          <w:rFonts w:cs="Arial" w:ascii="Arial" w:hAnsi="Arial"/>
          <w:b/>
          <w:sz w:val="22"/>
          <w:szCs w:val="22"/>
        </w:rPr>
        <w:t>C.</w:t>
        <w:tab/>
        <w:t>Na podstawie art. 7 ust. 3 ustawy z dnia 13 kwietnia 2022r. o szczególnych rozwiązaniach w zakresie przeciwdziałania wspieraniu agresji na Ukrainę oraz służących ochronie bezpieczeństwa narodowego (</w:t>
      </w:r>
      <w:r>
        <w:rPr>
          <w:rFonts w:cs="Arial" w:ascii="Arial" w:hAnsi="Arial"/>
          <w:b/>
          <w:sz w:val="22"/>
        </w:rPr>
        <w:t xml:space="preserve">tekst jednolity: </w:t>
      </w:r>
      <w:r>
        <w:rPr>
          <w:rFonts w:cs="Arial" w:ascii="Arial" w:hAnsi="Arial"/>
          <w:b/>
          <w:sz w:val="22"/>
          <w:szCs w:val="22"/>
        </w:rPr>
        <w:t>Dz.U. 2024 poz. 507) z postępowania o udzielenie zamówienia Zamawiający wykluczy wykonawcę</w:t>
      </w:r>
      <w:r>
        <w:rPr>
          <w:rFonts w:cs="Arial" w:ascii="Arial" w:hAnsi="Arial"/>
          <w:sz w:val="22"/>
          <w:szCs w:val="22"/>
        </w:rPr>
        <w:t xml:space="preserve"> w przypadkach, o których mowa w art. 7 ust. 1 tejże ustawy.</w:t>
      </w:r>
    </w:p>
    <w:p>
      <w:pPr>
        <w:pStyle w:val="Default"/>
        <w:ind w:left="426"/>
        <w:jc w:val="both"/>
        <w:rPr>
          <w:rFonts w:ascii="Arial" w:hAnsi="Arial" w:cs="Arial"/>
          <w:sz w:val="22"/>
        </w:rPr>
      </w:pPr>
      <w:r>
        <w:rPr>
          <w:rFonts w:cs="Arial" w:ascii="Arial" w:hAnsi="Arial"/>
          <w:sz w:val="22"/>
        </w:rPr>
      </w:r>
    </w:p>
    <w:p>
      <w:pPr>
        <w:pStyle w:val="Default"/>
        <w:ind w:left="426"/>
        <w:jc w:val="both"/>
        <w:rPr>
          <w:rFonts w:ascii="Arial" w:hAnsi="Arial" w:cs="Arial"/>
          <w:sz w:val="22"/>
        </w:rPr>
      </w:pPr>
      <w:r>
        <w:rPr>
          <w:rFonts w:cs="Arial" w:ascii="Arial" w:hAnsi="Arial"/>
          <w:sz w:val="22"/>
        </w:rPr>
        <w:t>W zależności od zaistniałych podstaw wykluczenia określonych w pkt. 25 SWZ następuje wykluczenie Wykonawcy na odpowiedni okres wskazany w art. 111 ustawy Pzp.</w:t>
      </w:r>
    </w:p>
    <w:p>
      <w:pPr>
        <w:pStyle w:val="Default"/>
        <w:ind w:left="426"/>
        <w:jc w:val="both"/>
        <w:rPr>
          <w:rFonts w:ascii="Arial" w:hAnsi="Arial" w:cs="Arial"/>
          <w:sz w:val="22"/>
        </w:rPr>
      </w:pPr>
      <w:r>
        <w:rPr>
          <w:rFonts w:cs="Arial" w:ascii="Arial" w:hAnsi="Arial"/>
          <w:sz w:val="22"/>
        </w:rPr>
      </w:r>
    </w:p>
    <w:p>
      <w:pPr>
        <w:pStyle w:val="Default"/>
        <w:ind w:left="426"/>
        <w:jc w:val="both"/>
        <w:rPr>
          <w:rFonts w:ascii="Arial" w:hAnsi="Arial" w:cs="Arial"/>
          <w:sz w:val="22"/>
        </w:rPr>
      </w:pPr>
      <w:r>
        <w:rPr>
          <w:rFonts w:cs="Arial" w:ascii="Arial" w:hAnsi="Arial"/>
          <w:sz w:val="22"/>
        </w:rPr>
        <w:t>Wykonawca może zostać wykluczony przez Zamawiającego na każdym etapie postępowania o udzielenie zamówienia.</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Informacja o warunkach udziału w postępowaniu, jeżeli zamawiający je przewiduje:</w:t>
      </w:r>
    </w:p>
    <w:p>
      <w:pPr>
        <w:pStyle w:val="Default"/>
        <w:ind w:left="426"/>
        <w:jc w:val="both"/>
        <w:rPr>
          <w:rFonts w:ascii="Arial" w:hAnsi="Arial" w:cs="Arial"/>
          <w:b/>
          <w:sz w:val="22"/>
        </w:rPr>
      </w:pPr>
      <w:r>
        <w:rPr>
          <w:rFonts w:cs="Arial" w:ascii="Arial" w:hAnsi="Arial"/>
          <w:b/>
          <w:sz w:val="22"/>
        </w:rPr>
      </w:r>
    </w:p>
    <w:p>
      <w:pPr>
        <w:pStyle w:val="Default"/>
        <w:ind w:left="426"/>
        <w:jc w:val="both"/>
        <w:rPr>
          <w:rFonts w:ascii="Arial" w:hAnsi="Arial" w:cs="Arial"/>
          <w:b/>
          <w:sz w:val="22"/>
        </w:rPr>
      </w:pPr>
      <w:r>
        <w:rPr>
          <w:rFonts w:cs="Arial" w:ascii="Arial" w:hAnsi="Arial"/>
          <w:b/>
          <w:sz w:val="22"/>
        </w:rPr>
        <w:t>O udzielenie zamówienia mogą ubiegać się Wykonawcy, którzy spełniają warunki udziału w postępowaniu określone poniżej przez Zamawiającego.</w:t>
      </w:r>
    </w:p>
    <w:p>
      <w:pPr>
        <w:pStyle w:val="Default"/>
        <w:ind w:left="426"/>
        <w:jc w:val="both"/>
        <w:rPr>
          <w:rFonts w:ascii="Arial" w:hAnsi="Arial" w:cs="Arial"/>
          <w:sz w:val="22"/>
        </w:rPr>
      </w:pPr>
      <w:r>
        <w:rPr>
          <w:rFonts w:cs="Arial" w:ascii="Arial" w:hAnsi="Arial"/>
          <w:sz w:val="22"/>
        </w:rPr>
        <w:t>O udzielenie zamówienia mogą ubiegać się Wykonawcy, którzy spełniają warunki dotyczące:</w:t>
      </w:r>
    </w:p>
    <w:p>
      <w:pPr>
        <w:pStyle w:val="Default"/>
        <w:numPr>
          <w:ilvl w:val="0"/>
          <w:numId w:val="17"/>
        </w:numPr>
        <w:jc w:val="both"/>
        <w:rPr>
          <w:rFonts w:ascii="Arial" w:hAnsi="Arial" w:cs="Arial"/>
          <w:sz w:val="22"/>
          <w:szCs w:val="22"/>
        </w:rPr>
      </w:pPr>
      <w:r>
        <w:rPr>
          <w:rFonts w:cs="Arial" w:ascii="Arial" w:hAnsi="Arial"/>
          <w:sz w:val="22"/>
          <w:szCs w:val="22"/>
        </w:rPr>
        <w:t>zdolności do występowania w obrocie gospodarczym:</w:t>
      </w:r>
    </w:p>
    <w:p>
      <w:pPr>
        <w:pStyle w:val="Default"/>
        <w:ind w:left="846"/>
        <w:jc w:val="both"/>
        <w:rPr>
          <w:rFonts w:ascii="Arial" w:hAnsi="Arial" w:cs="Arial"/>
          <w:sz w:val="22"/>
        </w:rPr>
      </w:pPr>
      <w:r>
        <w:rPr>
          <w:rFonts w:cs="Arial" w:ascii="Arial" w:hAnsi="Arial"/>
          <w:sz w:val="22"/>
        </w:rPr>
        <w:t>Zamawiający nie stawia warunku w powyższym zakresie.</w:t>
      </w:r>
    </w:p>
    <w:p>
      <w:pPr>
        <w:pStyle w:val="Default"/>
        <w:ind w:left="846"/>
        <w:jc w:val="both"/>
        <w:rPr>
          <w:rFonts w:ascii="Arial" w:hAnsi="Arial" w:cs="Arial"/>
          <w:sz w:val="22"/>
          <w:szCs w:val="22"/>
        </w:rPr>
      </w:pPr>
      <w:r>
        <w:rPr>
          <w:rFonts w:cs="Arial" w:ascii="Arial" w:hAnsi="Arial"/>
          <w:sz w:val="22"/>
          <w:szCs w:val="22"/>
        </w:rPr>
      </w:r>
    </w:p>
    <w:p>
      <w:pPr>
        <w:pStyle w:val="Default"/>
        <w:numPr>
          <w:ilvl w:val="0"/>
          <w:numId w:val="17"/>
        </w:numPr>
        <w:jc w:val="both"/>
        <w:rPr>
          <w:rFonts w:ascii="Arial" w:hAnsi="Arial" w:cs="Arial"/>
          <w:sz w:val="22"/>
          <w:szCs w:val="22"/>
        </w:rPr>
      </w:pPr>
      <w:r>
        <w:rPr>
          <w:rFonts w:cs="Arial" w:ascii="Arial" w:hAnsi="Arial"/>
          <w:sz w:val="22"/>
          <w:szCs w:val="22"/>
        </w:rPr>
        <w:t>uprawnień do prowadzenia określonej działalności gospodarczej lub zawodowej, o ile wynika to z odrębnych przepisów:</w:t>
      </w:r>
    </w:p>
    <w:p>
      <w:pPr>
        <w:pStyle w:val="Default"/>
        <w:ind w:left="846"/>
        <w:jc w:val="both"/>
        <w:rPr>
          <w:rFonts w:ascii="Arial" w:hAnsi="Arial" w:cs="Arial"/>
          <w:sz w:val="22"/>
        </w:rPr>
      </w:pPr>
      <w:r>
        <w:rPr>
          <w:rFonts w:cs="Arial" w:ascii="Arial" w:hAnsi="Arial"/>
          <w:sz w:val="22"/>
        </w:rPr>
        <w:t>Zamawiający nie stawia warunku w powyższym zakresie.</w:t>
      </w:r>
    </w:p>
    <w:p>
      <w:pPr>
        <w:pStyle w:val="Default"/>
        <w:ind w:left="846"/>
        <w:jc w:val="both"/>
        <w:rPr>
          <w:rFonts w:ascii="Arial" w:hAnsi="Arial" w:cs="Arial"/>
          <w:sz w:val="22"/>
          <w:szCs w:val="22"/>
        </w:rPr>
      </w:pPr>
      <w:r>
        <w:rPr>
          <w:rFonts w:cs="Arial" w:ascii="Arial" w:hAnsi="Arial"/>
          <w:sz w:val="22"/>
          <w:szCs w:val="22"/>
        </w:rPr>
      </w:r>
    </w:p>
    <w:p>
      <w:pPr>
        <w:pStyle w:val="Default"/>
        <w:numPr>
          <w:ilvl w:val="0"/>
          <w:numId w:val="17"/>
        </w:numPr>
        <w:jc w:val="both"/>
        <w:rPr>
          <w:rFonts w:ascii="Arial" w:hAnsi="Arial" w:cs="Arial"/>
          <w:sz w:val="22"/>
          <w:szCs w:val="22"/>
        </w:rPr>
      </w:pPr>
      <w:r>
        <w:rPr>
          <w:rFonts w:cs="Arial" w:ascii="Arial" w:hAnsi="Arial"/>
          <w:sz w:val="22"/>
          <w:szCs w:val="22"/>
        </w:rPr>
        <w:t>sytuacji ekonomicznej lub finansowej:</w:t>
      </w:r>
    </w:p>
    <w:p>
      <w:pPr>
        <w:pStyle w:val="Default"/>
        <w:ind w:left="846"/>
        <w:jc w:val="both"/>
        <w:rPr>
          <w:rFonts w:ascii="Arial" w:hAnsi="Arial" w:cs="Arial"/>
          <w:sz w:val="22"/>
          <w:szCs w:val="22"/>
        </w:rPr>
      </w:pPr>
      <w:r>
        <w:rPr>
          <w:rFonts w:cs="Arial" w:ascii="Arial" w:hAnsi="Arial"/>
          <w:sz w:val="22"/>
        </w:rPr>
        <w:t xml:space="preserve">Wykonawca musi wykazać, że </w:t>
      </w:r>
      <w:r>
        <w:rPr>
          <w:rFonts w:cs="Arial" w:ascii="Arial" w:hAnsi="Arial"/>
          <w:sz w:val="22"/>
          <w:szCs w:val="22"/>
        </w:rPr>
        <w:t>posiada zdolność kredytową lub środki finansowe w kwocie minimum 3.000.000,00 zł (słownie: trzy miliony złotych).</w:t>
      </w:r>
    </w:p>
    <w:p>
      <w:pPr>
        <w:pStyle w:val="Default"/>
        <w:ind w:left="846"/>
        <w:jc w:val="both"/>
        <w:rPr>
          <w:rFonts w:ascii="Arial" w:hAnsi="Arial" w:cs="Arial"/>
          <w:sz w:val="22"/>
          <w:szCs w:val="22"/>
        </w:rPr>
      </w:pPr>
      <w:r>
        <w:rPr>
          <w:rFonts w:cs="Arial" w:ascii="Arial" w:hAnsi="Arial"/>
          <w:sz w:val="22"/>
          <w:szCs w:val="22"/>
        </w:rPr>
      </w:r>
    </w:p>
    <w:p>
      <w:pPr>
        <w:pStyle w:val="Default"/>
        <w:ind w:left="851"/>
        <w:jc w:val="both"/>
        <w:rPr>
          <w:rFonts w:ascii="Arial" w:hAnsi="Arial" w:cs="Arial"/>
          <w:sz w:val="22"/>
          <w:szCs w:val="22"/>
        </w:rPr>
      </w:pPr>
      <w:r>
        <w:rPr>
          <w:rFonts w:cs="Arial" w:ascii="Arial" w:hAnsi="Arial"/>
          <w:sz w:val="22"/>
          <w:szCs w:val="22"/>
        </w:rPr>
        <w:t xml:space="preserve">Uwaga: </w:t>
      </w:r>
    </w:p>
    <w:p>
      <w:pPr>
        <w:pStyle w:val="Default"/>
        <w:ind w:left="851"/>
        <w:jc w:val="both"/>
        <w:rPr>
          <w:rFonts w:ascii="Arial" w:hAnsi="Arial" w:cs="Arial"/>
          <w:sz w:val="22"/>
          <w:szCs w:val="22"/>
        </w:rPr>
      </w:pPr>
      <w:r>
        <w:rPr>
          <w:rFonts w:cs="Arial" w:ascii="Arial" w:hAnsi="Arial"/>
          <w:sz w:val="22"/>
          <w:szCs w:val="22"/>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pPr>
        <w:pStyle w:val="Default"/>
        <w:ind w:left="851"/>
        <w:jc w:val="both"/>
        <w:rPr>
          <w:rFonts w:ascii="Arial" w:hAnsi="Arial" w:cs="Arial"/>
          <w:sz w:val="22"/>
          <w:szCs w:val="22"/>
        </w:rPr>
      </w:pPr>
      <w:r>
        <w:rPr>
          <w:rFonts w:cs="Arial" w:ascii="Arial" w:hAnsi="Arial"/>
          <w:sz w:val="22"/>
        </w:rPr>
        <w:t>Zamawiający, w stosunku do Wykonawców wspólnie ubiegających się o udzielenie zamówienia dopuszcza łączne spełnianie warunku przez Wykonawców.</w:t>
      </w:r>
    </w:p>
    <w:p>
      <w:pPr>
        <w:pStyle w:val="Default"/>
        <w:ind w:left="846"/>
        <w:jc w:val="both"/>
        <w:rPr>
          <w:rFonts w:ascii="Arial" w:hAnsi="Arial" w:cs="Arial"/>
          <w:sz w:val="22"/>
          <w:szCs w:val="22"/>
        </w:rPr>
      </w:pPr>
      <w:r>
        <w:rPr>
          <w:rFonts w:cs="Arial" w:ascii="Arial" w:hAnsi="Arial"/>
          <w:sz w:val="22"/>
          <w:szCs w:val="22"/>
        </w:rPr>
      </w:r>
    </w:p>
    <w:p>
      <w:pPr>
        <w:pStyle w:val="Default"/>
        <w:ind w:hanging="425" w:left="851"/>
        <w:jc w:val="both"/>
        <w:rPr>
          <w:rFonts w:ascii="Arial" w:hAnsi="Arial" w:cs="Arial"/>
          <w:sz w:val="22"/>
          <w:szCs w:val="22"/>
        </w:rPr>
      </w:pPr>
      <w:r>
        <w:rPr>
          <w:rFonts w:cs="Arial" w:ascii="Arial" w:hAnsi="Arial"/>
          <w:sz w:val="22"/>
          <w:szCs w:val="22"/>
        </w:rPr>
        <w:t>4)</w:t>
        <w:tab/>
        <w:t>zdolności technicznej lub zawodowej:</w:t>
      </w:r>
    </w:p>
    <w:p>
      <w:pPr>
        <w:pStyle w:val="Default"/>
        <w:ind w:left="846"/>
        <w:jc w:val="both"/>
        <w:rPr>
          <w:rFonts w:ascii="Arial" w:hAnsi="Arial" w:cs="Arial"/>
          <w:sz w:val="22"/>
          <w:szCs w:val="22"/>
        </w:rPr>
      </w:pPr>
      <w:r>
        <w:rPr>
          <w:rFonts w:cs="Arial" w:ascii="Arial" w:hAnsi="Arial"/>
          <w:sz w:val="22"/>
        </w:rPr>
        <w:t xml:space="preserve">Wykonawca musi wykazać, że posiada </w:t>
      </w:r>
      <w:r>
        <w:rPr>
          <w:rFonts w:cs="Arial" w:ascii="Arial" w:hAnsi="Arial"/>
          <w:sz w:val="22"/>
          <w:szCs w:val="22"/>
        </w:rPr>
        <w:t>niezbędne wykształcenie, kwalifikacje zawodowe, doświadczenie, potencjał techniczny wykonawcy lub osób skierowanych przez wykonawcę do realizacji zamówienia, umożliwiające realizację zamówienia na odpowiednim poziomie jakości, tj.:</w:t>
      </w:r>
    </w:p>
    <w:p>
      <w:pPr>
        <w:pStyle w:val="Default"/>
        <w:ind w:hanging="425" w:left="1276"/>
        <w:jc w:val="both"/>
        <w:rPr>
          <w:rFonts w:ascii="Arial" w:hAnsi="Arial" w:cs="Arial"/>
          <w:sz w:val="22"/>
          <w:szCs w:val="22"/>
        </w:rPr>
      </w:pPr>
      <w:r>
        <w:rPr>
          <w:rFonts w:cs="Arial" w:ascii="Arial" w:hAnsi="Arial"/>
          <w:sz w:val="22"/>
          <w:szCs w:val="22"/>
        </w:rPr>
        <w:t>a)</w:t>
        <w:tab/>
        <w:t>w okresie ostatnich 5 lat przed upływem terminu składania ofert, a jeżeli okres pro-wadzenia działalności jest krótszy, to w tym okresie, wykonał należycie co najmniej:</w:t>
      </w:r>
    </w:p>
    <w:p>
      <w:pPr>
        <w:pStyle w:val="Default"/>
        <w:ind w:hanging="425" w:left="1701"/>
        <w:jc w:val="both"/>
        <w:rPr>
          <w:rFonts w:ascii="Arial" w:hAnsi="Arial" w:cs="Arial"/>
          <w:sz w:val="22"/>
          <w:szCs w:val="22"/>
        </w:rPr>
      </w:pPr>
      <w:r>
        <w:rPr>
          <w:rFonts w:cs="Arial" w:ascii="Arial" w:hAnsi="Arial"/>
          <w:sz w:val="22"/>
          <w:szCs w:val="22"/>
        </w:rPr>
        <w:t>i)</w:t>
        <w:tab/>
        <w:t>2 roboty budowlane, w których przedmiotem każdej z robót była budowa budynku wielorodzinnego min. 3 kondygnacyjnego, o łącznej wartości każdej z robót nie niższej niż 7.000.000,00 zł brutto,</w:t>
      </w:r>
    </w:p>
    <w:p>
      <w:pPr>
        <w:pStyle w:val="Default"/>
        <w:ind w:hanging="425" w:left="1701"/>
        <w:jc w:val="both"/>
        <w:rPr>
          <w:rFonts w:ascii="Arial" w:hAnsi="Arial" w:cs="Arial"/>
          <w:sz w:val="22"/>
          <w:szCs w:val="22"/>
        </w:rPr>
      </w:pPr>
      <w:r>
        <w:rPr>
          <w:rFonts w:cs="Arial" w:ascii="Arial" w:hAnsi="Arial"/>
          <w:sz w:val="22"/>
          <w:szCs w:val="22"/>
        </w:rPr>
        <w:t>ii)</w:t>
        <w:tab/>
        <w:t>1 robotę budowlaną polegającą na budowie budynku wielokondygnacyjnego wykonanego w technologii prefabrykowanej betonowej, w którym 1/3 powierzchni ścian tego budynku była wykonana z prefabrykatów keramzytobetonowych.</w:t>
      </w:r>
    </w:p>
    <w:p>
      <w:pPr>
        <w:pStyle w:val="Default"/>
        <w:ind w:left="1276"/>
        <w:jc w:val="both"/>
        <w:rPr>
          <w:rFonts w:ascii="Arial" w:hAnsi="Arial" w:cs="Arial"/>
          <w:sz w:val="22"/>
          <w:szCs w:val="22"/>
        </w:rPr>
      </w:pPr>
      <w:r>
        <w:rPr>
          <w:rFonts w:cs="Arial" w:ascii="Arial" w:hAnsi="Arial"/>
          <w:sz w:val="22"/>
          <w:szCs w:val="22"/>
        </w:rPr>
      </w:r>
    </w:p>
    <w:p>
      <w:pPr>
        <w:pStyle w:val="Default"/>
        <w:ind w:left="1276"/>
        <w:jc w:val="both"/>
        <w:rPr>
          <w:rFonts w:ascii="Arial" w:hAnsi="Arial" w:cs="Arial"/>
          <w:sz w:val="22"/>
          <w:szCs w:val="22"/>
        </w:rPr>
      </w:pPr>
      <w:r>
        <w:rPr>
          <w:rFonts w:cs="Arial" w:ascii="Arial" w:hAnsi="Arial"/>
          <w:sz w:val="22"/>
          <w:szCs w:val="22"/>
        </w:rPr>
        <w:t xml:space="preserve">Uwaga: </w:t>
      </w:r>
    </w:p>
    <w:p>
      <w:pPr>
        <w:pStyle w:val="Default"/>
        <w:ind w:left="1276"/>
        <w:jc w:val="both"/>
        <w:rPr>
          <w:rFonts w:ascii="Arial" w:hAnsi="Arial" w:cs="Arial"/>
          <w:sz w:val="22"/>
          <w:szCs w:val="22"/>
        </w:rPr>
      </w:pPr>
      <w:r>
        <w:rPr>
          <w:rFonts w:cs="Arial" w:ascii="Arial" w:hAnsi="Arial"/>
          <w:sz w:val="22"/>
          <w:szCs w:val="22"/>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pPr>
        <w:pStyle w:val="Default"/>
        <w:ind w:left="1276"/>
        <w:jc w:val="both"/>
        <w:rPr>
          <w:rFonts w:ascii="Arial" w:hAnsi="Arial" w:cs="Arial"/>
          <w:sz w:val="22"/>
          <w:szCs w:val="22"/>
        </w:rPr>
      </w:pPr>
      <w:r>
        <w:rPr>
          <w:rFonts w:cs="Arial" w:ascii="Arial" w:hAnsi="Arial"/>
          <w:sz w:val="22"/>
          <w:szCs w:val="22"/>
        </w:rPr>
        <w:t>Zamawiający, w stosunku do Wykonawców wspólnie ubiegających się o udzielenie zamówienia dopuszcza łączne spełnianie warunku przez Wykonawców.</w:t>
      </w:r>
    </w:p>
    <w:p>
      <w:pPr>
        <w:pStyle w:val="Default"/>
        <w:ind w:hanging="430" w:left="1276"/>
        <w:jc w:val="both"/>
        <w:rPr>
          <w:rFonts w:ascii="Arial" w:hAnsi="Arial" w:cs="Arial"/>
          <w:sz w:val="22"/>
        </w:rPr>
      </w:pPr>
      <w:r>
        <w:rPr>
          <w:rFonts w:cs="Arial" w:ascii="Arial" w:hAnsi="Arial"/>
          <w:sz w:val="22"/>
        </w:rPr>
      </w:r>
    </w:p>
    <w:p>
      <w:pPr>
        <w:pStyle w:val="Default"/>
        <w:ind w:hanging="430" w:left="1276"/>
        <w:jc w:val="both"/>
        <w:rPr>
          <w:rFonts w:ascii="Arial" w:hAnsi="Arial" w:cs="Arial"/>
          <w:sz w:val="22"/>
        </w:rPr>
      </w:pPr>
      <w:r>
        <w:rPr>
          <w:rFonts w:cs="Arial" w:ascii="Arial" w:hAnsi="Arial"/>
          <w:sz w:val="22"/>
        </w:rPr>
        <w:t>b)</w:t>
        <w:tab/>
        <w:t>skieruje do realizacji zamówienia publicznego osobę/osoby zdolną/zdolne do wykonania zamówienia tj.:</w:t>
      </w:r>
    </w:p>
    <w:p>
      <w:pPr>
        <w:pStyle w:val="Default"/>
        <w:ind w:hanging="430" w:left="1701"/>
        <w:jc w:val="both"/>
        <w:rPr>
          <w:rFonts w:ascii="Arial" w:hAnsi="Arial" w:cs="Arial"/>
          <w:sz w:val="22"/>
        </w:rPr>
      </w:pPr>
      <w:r>
        <w:rPr>
          <w:rFonts w:cs="Arial" w:ascii="Arial" w:hAnsi="Arial"/>
          <w:sz w:val="22"/>
        </w:rPr>
        <w:t>•</w:t>
      </w:r>
      <w:r>
        <w:rPr>
          <w:rFonts w:cs="Arial" w:ascii="Arial" w:hAnsi="Arial"/>
          <w:sz w:val="22"/>
        </w:rPr>
        <w:tab/>
        <w:t>co najmniej 1 osobę, która będzie pełniła funkcję kierownika budowy, posiadającą prawo do wykonywania samodzielnych funkcji technicznych w budownictwie, tj. uprawnienia budowlane w zakresie kierowania robotami budowlanymi bez ograniczeń w specjalności konstrukcyjno-budowlanej lub odpowiadające im ważne uprawnienia budowlane, oraz posiadającą 5 letnie doświadczenie w pełnieniu funkcji kierownika budowy, w tym co najmniej dla 2 robót budowlanych polegających na budowie, przebudowie lub remoncie budynku (z wyłączeniem budynków mieszkalnych jednorodzinnych, służących gospodarce rolnej, budynków kultu religijnego, budynków sportu i rekreacji, budynków handlu, gastronomii i usług, budynków przemysłowych oraz innych niewielkich budynków jak: domy letniskowe, budynki gospodarcze, garaże) o łącznej wartości robót nie niższej niż 7.000.000,00 zł brutto dla każdej z robót budowlanych,</w:t>
      </w:r>
    </w:p>
    <w:p>
      <w:pPr>
        <w:pStyle w:val="Default"/>
        <w:ind w:hanging="430" w:left="1701"/>
        <w:jc w:val="both"/>
        <w:rPr>
          <w:rFonts w:ascii="Arial" w:hAnsi="Arial" w:cs="Arial"/>
          <w:color w:val="auto"/>
          <w:sz w:val="22"/>
        </w:rPr>
      </w:pPr>
      <w:r>
        <w:rPr>
          <w:rFonts w:cs="Arial" w:ascii="Arial" w:hAnsi="Arial"/>
          <w:sz w:val="22"/>
        </w:rPr>
        <w:t>•</w:t>
      </w:r>
      <w:r>
        <w:rPr>
          <w:rFonts w:cs="Arial" w:ascii="Arial" w:hAnsi="Arial"/>
          <w:sz w:val="22"/>
        </w:rPr>
        <w:tab/>
        <w:t xml:space="preserve">co najmniej 1 osobę posiadającą prawo do wykonywania samodzielnych funkcji technicznych w budownictwie, tj. uprawnienia budowlane w zakresie kierowania robotami budowlanymi bez ograniczeń w specjalności instalacyjnej w zakresie sieci, instalacji i urządzeń elektrycznych i elektroenergetycznych, lub odpowiadające im ważne uprawnienia budowlane, oraz posiadającą 5 letnie doświadczenie w pełnieniu funkcji kierownika robót, w tym co najmniej dla 2 robót budowlanych polegających na budowie, przebudowie lub remoncie budynku (z wyłączeniem budynków mieszkalnych jednorodzinnych, służących gospodarce rolnej, budynków kultu religijnego, budynków sportu i rekreacji, budynków handlu, gastronomii </w:t>
      </w:r>
      <w:r>
        <w:rPr>
          <w:rFonts w:cs="Arial" w:ascii="Arial" w:hAnsi="Arial"/>
          <w:color w:val="auto"/>
          <w:sz w:val="22"/>
        </w:rPr>
        <w:t>i usług, budynków przemysłowych oraz innych niewielkich budynków jak: domy letniskowe, budynki gospodarcze, garaże) o łącznej wartości robót nie niższej niż 500.000,00 zł brutto dla każdej z robót budowlanych,</w:t>
      </w:r>
    </w:p>
    <w:p>
      <w:pPr>
        <w:pStyle w:val="Default"/>
        <w:ind w:hanging="430" w:left="1701"/>
        <w:jc w:val="both"/>
        <w:rPr>
          <w:rFonts w:ascii="Arial" w:hAnsi="Arial" w:cs="Arial"/>
          <w:sz w:val="22"/>
        </w:rPr>
      </w:pPr>
      <w:r>
        <w:rPr>
          <w:rFonts w:cs="Arial" w:ascii="Arial" w:hAnsi="Arial"/>
          <w:color w:val="auto"/>
          <w:sz w:val="22"/>
        </w:rPr>
        <w:t>•</w:t>
      </w:r>
      <w:r>
        <w:rPr>
          <w:rFonts w:cs="Arial" w:ascii="Arial" w:hAnsi="Arial"/>
          <w:color w:val="auto"/>
          <w:sz w:val="22"/>
        </w:rPr>
        <w:tab/>
        <w:t xml:space="preserve">co najmniej 1 osobę posiadającą prawo do wykonywania samodzielnych funkcji technicznych w budownictwie, tj. uprawnienia budowlane w zakresie kierowania robotami budowlanymi bez ograniczeń w specjalności instalacyjnej w zakresie sieci, instalacji i urządzeń cieplnych, wentylacyjnych, gazowych, wodociągowych i kanalizacyjnych, lub odpowiadające im ważne uprawnienia budowlane, oraz posiadającą 5 letnie doświadczenie w pełnieniu funkcji kierownika robót, w tym co najmniej dla 2 robót budowlanych polegających na budowie, przebudowie lub remoncie budynku (z wyłączeniem budynków mieszkalnych jednorodzinnych, służących gospodarce rolnej, budynków kultu religijnego, budynków sportu i rekreacji, budynków handlu, gastronomii i usług, budynków przemysłowych oraz innych niewielkich budynków jak: domy letniskowe, budynki gospodarcze, garaże) o łącznej wartości robót nie niższej niż 1.500.000,00 zł </w:t>
      </w:r>
      <w:r>
        <w:rPr>
          <w:rFonts w:cs="Arial" w:ascii="Arial" w:hAnsi="Arial"/>
          <w:sz w:val="22"/>
        </w:rPr>
        <w:t>brutto dla każdej z robót budowlanych,</w:t>
      </w:r>
    </w:p>
    <w:p>
      <w:pPr>
        <w:pStyle w:val="Default"/>
        <w:ind w:hanging="430" w:left="1701"/>
        <w:jc w:val="both"/>
        <w:rPr>
          <w:rFonts w:ascii="Arial" w:hAnsi="Arial" w:cs="Arial"/>
          <w:color w:val="auto"/>
          <w:sz w:val="22"/>
        </w:rPr>
      </w:pPr>
      <w:r>
        <w:rPr>
          <w:rFonts w:cs="Arial" w:ascii="Arial" w:hAnsi="Arial"/>
          <w:sz w:val="22"/>
        </w:rPr>
        <w:t>•</w:t>
      </w:r>
      <w:r>
        <w:rPr>
          <w:rFonts w:cs="Arial" w:ascii="Arial" w:hAnsi="Arial"/>
          <w:sz w:val="22"/>
        </w:rPr>
        <w:tab/>
        <w:t xml:space="preserve">co najmniej 1 osobę posiadającą prawo do wykonywania samodzielnych funkcji technicznych w budownictwie, tj. uprawnienia budowlane w zakresie kierowania robotami budowlanymi bez ograniczeń w specjalności inżynieryjnej drogowej, lub odpowiadające im ważne uprawnienia budowlane, oraz posiadającą 5 letnie doświadczenie w pełnieniu funkcji </w:t>
      </w:r>
      <w:r>
        <w:rPr>
          <w:rFonts w:cs="Arial" w:ascii="Arial" w:hAnsi="Arial"/>
          <w:color w:val="auto"/>
          <w:sz w:val="22"/>
        </w:rPr>
        <w:t>kierownika robót, w tym co najmniej dla 2 robót budowlanych polegających na budowie, przebudowie lub remoncie dróg lub parkingów o łącznej wartości robót nie niższej niż 200.000,00 zł brutto dla każdej z robót budowlanych,</w:t>
      </w:r>
    </w:p>
    <w:p>
      <w:pPr>
        <w:pStyle w:val="Default"/>
        <w:jc w:val="both"/>
        <w:rPr>
          <w:rFonts w:ascii="Arial" w:hAnsi="Arial" w:cs="Arial"/>
          <w:sz w:val="22"/>
        </w:rPr>
      </w:pPr>
      <w:r>
        <w:rPr>
          <w:rFonts w:cs="Arial" w:ascii="Arial" w:hAnsi="Arial"/>
          <w:sz w:val="22"/>
        </w:rPr>
      </w:r>
    </w:p>
    <w:p>
      <w:pPr>
        <w:pStyle w:val="Normal"/>
        <w:spacing w:lineRule="auto" w:line="240" w:before="0" w:after="0"/>
        <w:ind w:hanging="0" w:left="1276"/>
        <w:rPr>
          <w:rFonts w:ascii="Arial" w:hAnsi="Arial" w:cs="Arial"/>
          <w:sz w:val="22"/>
        </w:rPr>
      </w:pPr>
      <w:r>
        <w:rPr>
          <w:rFonts w:cs="Arial" w:ascii="Arial" w:hAnsi="Arial"/>
          <w:sz w:val="22"/>
        </w:rPr>
        <w:t>Uprawnienia, o których mowa powyżej, powinny być zgodne z ustawą z dnia 7 lipca 1994 r. Prawo budowlane (tekst jednolity Dz.U. 2023 poz. 682 z późn. zm.) lub ważne odpowiadające im uprawnienia, nadane na podstawie wcześniej obowiązujących przepisów.</w:t>
      </w:r>
    </w:p>
    <w:p>
      <w:pPr>
        <w:pStyle w:val="Normal"/>
        <w:spacing w:lineRule="auto" w:line="240" w:before="0" w:after="0"/>
        <w:ind w:hanging="0" w:left="1276"/>
        <w:rPr>
          <w:rFonts w:ascii="Arial" w:hAnsi="Arial" w:cs="Arial"/>
          <w:sz w:val="22"/>
        </w:rPr>
      </w:pPr>
      <w:r>
        <w:rPr>
          <w:rFonts w:cs="Arial" w:ascii="Arial" w:hAnsi="Arial"/>
          <w:sz w:val="22"/>
        </w:rPr>
        <w:t>Zgodnie z art. 12a ustawy Prawo budowlane samodzielne funkcje techniczne w budownictwie, określone w art. 12 ust. 1 tejże ustawy mogą również wykonywać osoby, których odpowiednie kwalifikacje zawodowe zostały uznane na zasadach określonych w przepisach odrębnych, np. ustawie z dnia 22 grudnia 2015 r. o zasadach uznawania kwalifikacji zawodowych nabytych w państwach członkowskich Unii Europejskiej (j.t. Dz.U. 2023 poz. 334) lub ustawie z dnia 15 grudnia 2000 r. o samorządach zawodowych architektów oraz inżynierów budownictwa (t.j.: Dz.U. 2023 poz. 551).</w:t>
      </w:r>
    </w:p>
    <w:p>
      <w:pPr>
        <w:pStyle w:val="Normal"/>
        <w:spacing w:lineRule="auto" w:line="240" w:before="0" w:after="0"/>
        <w:ind w:hanging="0" w:left="1276"/>
        <w:rPr>
          <w:rFonts w:ascii="Arial" w:hAnsi="Arial" w:cs="Arial"/>
          <w:sz w:val="22"/>
        </w:rPr>
      </w:pPr>
      <w:r>
        <w:rPr>
          <w:rFonts w:cs="Arial" w:ascii="Arial" w:hAnsi="Arial"/>
          <w:sz w:val="22"/>
        </w:rPr>
        <w:t>Zamawiający dopuszcza łączenie ww. funkcji.</w:t>
      </w:r>
    </w:p>
    <w:p>
      <w:pPr>
        <w:pStyle w:val="Default"/>
        <w:ind w:left="1276"/>
        <w:jc w:val="both"/>
        <w:rPr>
          <w:rFonts w:ascii="Arial" w:hAnsi="Arial" w:cs="Arial"/>
          <w:sz w:val="22"/>
        </w:rPr>
      </w:pPr>
      <w:r>
        <w:rPr>
          <w:rFonts w:cs="Arial" w:ascii="Arial" w:hAnsi="Arial"/>
          <w:sz w:val="22"/>
        </w:rPr>
      </w:r>
    </w:p>
    <w:p>
      <w:pPr>
        <w:pStyle w:val="Default"/>
        <w:ind w:left="1276"/>
        <w:jc w:val="both"/>
        <w:rPr>
          <w:rFonts w:ascii="Arial" w:hAnsi="Arial" w:cs="Arial"/>
          <w:sz w:val="22"/>
          <w:szCs w:val="22"/>
        </w:rPr>
      </w:pPr>
      <w:r>
        <w:rPr>
          <w:rFonts w:cs="Arial" w:ascii="Arial" w:hAnsi="Arial"/>
          <w:sz w:val="22"/>
          <w:szCs w:val="22"/>
        </w:rPr>
        <w:t xml:space="preserve">Uwaga: </w:t>
      </w:r>
    </w:p>
    <w:p>
      <w:pPr>
        <w:pStyle w:val="Default"/>
        <w:ind w:left="1276"/>
        <w:jc w:val="both"/>
        <w:rPr>
          <w:rFonts w:ascii="Arial" w:hAnsi="Arial" w:cs="Arial"/>
          <w:sz w:val="22"/>
          <w:szCs w:val="22"/>
        </w:rPr>
      </w:pPr>
      <w:r>
        <w:rPr>
          <w:rFonts w:cs="Arial" w:ascii="Arial" w:hAnsi="Arial"/>
          <w:sz w:val="22"/>
          <w:szCs w:val="22"/>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pPr>
        <w:pStyle w:val="Default"/>
        <w:ind w:left="1276"/>
        <w:jc w:val="both"/>
        <w:rPr>
          <w:rFonts w:ascii="Arial" w:hAnsi="Arial" w:cs="Arial"/>
          <w:sz w:val="22"/>
        </w:rPr>
      </w:pPr>
      <w:r>
        <w:rPr>
          <w:rFonts w:cs="Arial" w:ascii="Arial" w:hAnsi="Arial"/>
          <w:sz w:val="22"/>
        </w:rPr>
        <w:t>Zamawiający, w stosunku do Wykonawców wspólnie ubiegających się o udzielenie zamówienia dopuszcza łączne spełnianie warunku przez Wykonawców.</w:t>
      </w:r>
    </w:p>
    <w:p>
      <w:pPr>
        <w:pStyle w:val="Default"/>
        <w:ind w:hanging="426" w:left="852"/>
        <w:jc w:val="both"/>
        <w:rPr>
          <w:rFonts w:ascii="Arial" w:hAnsi="Arial" w:cs="Arial"/>
          <w:sz w:val="22"/>
          <w:szCs w:val="22"/>
        </w:rPr>
      </w:pPr>
      <w:r>
        <w:rPr>
          <w:rFonts w:cs="Arial" w:ascii="Arial" w:hAnsi="Arial"/>
          <w:sz w:val="22"/>
          <w:szCs w:val="22"/>
        </w:rPr>
      </w:r>
    </w:p>
    <w:p>
      <w:pPr>
        <w:pStyle w:val="Default"/>
        <w:ind w:left="426"/>
        <w:jc w:val="both"/>
        <w:rPr>
          <w:rFonts w:ascii="Arial" w:hAnsi="Arial" w:cs="Arial"/>
          <w:sz w:val="22"/>
          <w:szCs w:val="22"/>
        </w:rPr>
      </w:pPr>
      <w:r>
        <w:rPr>
          <w:rFonts w:cs="Arial" w:ascii="Arial" w:hAnsi="Arial"/>
          <w:sz w:val="22"/>
          <w:szCs w:val="22"/>
        </w:rPr>
        <w:t xml:space="preserve">Wartości podane w dokumentach potwierdzających spełnianie warunków udziału w postępowaniu w walutach innych niż wskazane przez Zamawiającego należy przeliczyć wg średniego kursu NBP na dzień </w:t>
      </w:r>
      <w:r>
        <w:rPr>
          <w:rFonts w:cs="Arial" w:ascii="Arial" w:hAnsi="Arial"/>
          <w:sz w:val="22"/>
        </w:rPr>
        <w:t>opublikowania ogłoszenia o zamówieniu</w:t>
      </w:r>
      <w:r>
        <w:rPr>
          <w:rFonts w:cs="Arial" w:ascii="Arial" w:hAnsi="Arial"/>
          <w:sz w:val="22"/>
          <w:szCs w:val="22"/>
        </w:rPr>
        <w:t>.</w:t>
      </w:r>
    </w:p>
    <w:p>
      <w:pPr>
        <w:pStyle w:val="Default"/>
        <w:ind w:left="426"/>
        <w:jc w:val="both"/>
        <w:rPr>
          <w:rFonts w:ascii="Arial" w:hAnsi="Arial" w:cs="Arial"/>
          <w:sz w:val="22"/>
          <w:szCs w:val="22"/>
        </w:rPr>
      </w:pPr>
      <w:r>
        <w:rPr>
          <w:rFonts w:cs="Arial" w:ascii="Arial" w:hAnsi="Arial"/>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pPr>
        <w:pStyle w:val="Default"/>
        <w:ind w:left="426"/>
        <w:jc w:val="both"/>
        <w:rPr>
          <w:rFonts w:ascii="Arial" w:hAnsi="Arial" w:cs="Arial"/>
          <w:sz w:val="22"/>
        </w:rPr>
      </w:pPr>
      <w:r>
        <w:rPr>
          <w:rFonts w:cs="Arial" w:ascii="Arial" w:hAnsi="Arial"/>
          <w:sz w:val="22"/>
        </w:rPr>
      </w:r>
    </w:p>
    <w:p>
      <w:pPr>
        <w:pStyle w:val="Default"/>
        <w:ind w:left="426"/>
        <w:jc w:val="both"/>
        <w:rPr>
          <w:rFonts w:ascii="Arial" w:hAnsi="Arial" w:cs="Arial"/>
          <w:sz w:val="22"/>
        </w:rPr>
      </w:pPr>
      <w:r>
        <w:rPr>
          <w:rFonts w:cs="Arial" w:ascii="Arial" w:hAnsi="Arial"/>
          <w:sz w:val="22"/>
        </w:rPr>
        <w:t xml:space="preserve">W odniesieniu do warunków dotyczących wykształcenia, kwalifikacji zawodowych lub doświadczenia wykonawcy wspólnie ubiegający się o udzielenie zamówienia mogą polegać na zdolnościach tych z wykonawców, którzy wykonają roboty </w:t>
      </w:r>
      <w:r>
        <w:rPr>
          <w:rFonts w:cs="Arial" w:ascii="Arial" w:hAnsi="Arial"/>
          <w:color w:val="auto"/>
          <w:sz w:val="22"/>
        </w:rPr>
        <w:t xml:space="preserve">budowlane lub usługi, do realizacji których te zdolności są wymagane. W tym przypadku, wykonawcy wspólnie ubiegający się o udzielenie zamówienia dołączają do oferty oświadczenie, z którego wynika, które roboty budowlane wykonają poszczególni wykonawcy - </w:t>
      </w:r>
      <w:r>
        <w:rPr>
          <w:rFonts w:cs="Arial" w:ascii="Arial" w:hAnsi="Arial"/>
          <w:color w:val="auto"/>
          <w:sz w:val="22"/>
          <w:szCs w:val="22"/>
        </w:rPr>
        <w:t xml:space="preserve">zgodnie z </w:t>
      </w:r>
      <w:r>
        <w:rPr>
          <w:rFonts w:cs="Arial" w:ascii="Arial" w:hAnsi="Arial"/>
          <w:b/>
          <w:color w:val="auto"/>
          <w:sz w:val="22"/>
          <w:szCs w:val="22"/>
        </w:rPr>
        <w:t>załącznikiem nr 6 do SWZ</w:t>
      </w:r>
      <w:r>
        <w:rPr>
          <w:rFonts w:cs="Arial" w:ascii="Arial" w:hAnsi="Arial"/>
          <w:color w:val="auto"/>
          <w:sz w:val="22"/>
        </w:rPr>
        <w:t>.</w:t>
      </w:r>
    </w:p>
    <w:p>
      <w:pPr>
        <w:pStyle w:val="Default"/>
        <w:ind w:left="426"/>
        <w:jc w:val="both"/>
        <w:rPr>
          <w:rFonts w:ascii="Arial" w:hAnsi="Arial" w:cs="Arial"/>
          <w:sz w:val="22"/>
        </w:rPr>
      </w:pPr>
      <w:r>
        <w:rPr>
          <w:rFonts w:cs="Arial" w:ascii="Arial" w:hAnsi="Arial"/>
          <w:sz w:val="22"/>
        </w:rPr>
      </w:r>
    </w:p>
    <w:p>
      <w:pPr>
        <w:pStyle w:val="Default"/>
        <w:ind w:left="426"/>
        <w:jc w:val="both"/>
        <w:rPr>
          <w:rFonts w:ascii="Arial" w:hAnsi="Arial" w:cs="Arial"/>
          <w:sz w:val="22"/>
        </w:rPr>
      </w:pPr>
      <w:r>
        <w:rPr>
          <w:rFonts w:cs="Arial" w:ascii="Arial" w:hAnsi="Arial"/>
          <w:sz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pPr>
        <w:pStyle w:val="Default"/>
        <w:ind w:left="426"/>
        <w:jc w:val="both"/>
        <w:rPr>
          <w:rFonts w:ascii="Arial" w:hAnsi="Arial" w:cs="Arial"/>
          <w:sz w:val="22"/>
        </w:rPr>
      </w:pPr>
      <w:r>
        <w:rPr>
          <w:rFonts w:cs="Arial" w:ascii="Arial" w:hAnsi="Arial"/>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pPr>
        <w:pStyle w:val="Default"/>
        <w:ind w:left="426"/>
        <w:jc w:val="both"/>
        <w:rPr>
          <w:rFonts w:ascii="Arial" w:hAnsi="Arial" w:cs="Arial"/>
          <w:color w:val="auto"/>
          <w:sz w:val="22"/>
        </w:rPr>
      </w:pPr>
      <w:r>
        <w:rPr>
          <w:rFonts w:cs="Arial" w:ascii="Arial" w:hAnsi="Arial"/>
          <w:sz w:val="22"/>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w:t>
      </w:r>
      <w:r>
        <w:rPr>
          <w:rFonts w:cs="Arial" w:ascii="Arial" w:hAnsi="Arial"/>
          <w:color w:val="auto"/>
          <w:sz w:val="22"/>
        </w:rPr>
        <w:t xml:space="preserve">zamówienia lub inny podmiotowy środek dowodowy potwierdzający, że wykonawca realizując zamówienie, będzie dysponował niezbędnymi zasobami tych podmiotów Wzór oświadczenia stanowi </w:t>
      </w:r>
      <w:r>
        <w:rPr>
          <w:rFonts w:cs="Arial" w:ascii="Arial" w:hAnsi="Arial"/>
          <w:b/>
          <w:color w:val="auto"/>
          <w:sz w:val="22"/>
          <w:szCs w:val="22"/>
        </w:rPr>
        <w:t>załącznik nr 5 do SWZ</w:t>
      </w:r>
      <w:r>
        <w:rPr>
          <w:rFonts w:cs="Arial" w:ascii="Arial" w:hAnsi="Arial"/>
          <w:color w:val="auto"/>
          <w:sz w:val="22"/>
        </w:rPr>
        <w:t>.</w:t>
      </w:r>
    </w:p>
    <w:p>
      <w:pPr>
        <w:pStyle w:val="Default"/>
        <w:ind w:left="426"/>
        <w:jc w:val="both"/>
        <w:rPr>
          <w:rFonts w:ascii="Arial" w:hAnsi="Arial" w:cs="Arial"/>
          <w:sz w:val="22"/>
        </w:rPr>
      </w:pPr>
      <w:r>
        <w:rPr>
          <w:rFonts w:cs="Arial" w:ascii="Arial" w:hAnsi="Arial"/>
          <w:color w:val="auto"/>
          <w:sz w:val="22"/>
        </w:rPr>
        <w:t>Zamawiający ocenia, czy udostępniane wykonawcy przez podmioty udostępniające zasoby zdolności techniczne lub zawodowe lub ich sytuacja finansowa lub ekonomiczna</w:t>
      </w:r>
      <w:r>
        <w:rPr>
          <w:rFonts w:cs="Arial" w:ascii="Arial" w:hAnsi="Arial"/>
          <w:sz w:val="22"/>
        </w:rPr>
        <w:t>, pozwalają na wykazanie przez wykonawcę spełniania warunków udziału w postępowaniu, a także bada, czy nie zachodzą wobec tego podmiotu podstawy wykluczenia, które zostały przewidziane względem wykonawcy.</w:t>
      </w:r>
    </w:p>
    <w:p>
      <w:pPr>
        <w:pStyle w:val="Default"/>
        <w:ind w:left="426"/>
        <w:jc w:val="both"/>
        <w:rPr>
          <w:rFonts w:ascii="Arial" w:hAnsi="Arial" w:cs="Arial"/>
          <w:sz w:val="22"/>
        </w:rPr>
      </w:pPr>
      <w:r>
        <w:rPr>
          <w:rFonts w:cs="Arial" w:ascii="Arial" w:hAnsi="Arial"/>
          <w:sz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Informacja o podmiotowych środkach dowodowych, jeżeli zamawiający będzie wymagał ich złożenia:</w:t>
      </w:r>
    </w:p>
    <w:p>
      <w:pPr>
        <w:pStyle w:val="Default"/>
        <w:numPr>
          <w:ilvl w:val="0"/>
          <w:numId w:val="22"/>
        </w:numPr>
        <w:jc w:val="both"/>
        <w:rPr>
          <w:rFonts w:ascii="Arial" w:hAnsi="Arial" w:cs="Arial"/>
          <w:b/>
          <w:sz w:val="22"/>
          <w:szCs w:val="22"/>
        </w:rPr>
      </w:pPr>
      <w:r>
        <w:rPr>
          <w:rFonts w:cs="Arial" w:ascii="Arial" w:hAnsi="Arial"/>
          <w:b/>
          <w:sz w:val="22"/>
          <w:szCs w:val="22"/>
        </w:rPr>
        <w:t>W celu potwierdzenia braku podstaw wykluczenia wykonawcy z udziału w postępowaniu o udzielenie zamówienia publicznego, Zamawiający żąda następujących podmiotowych środków dowodowych:</w:t>
      </w:r>
    </w:p>
    <w:p>
      <w:pPr>
        <w:pStyle w:val="Default"/>
        <w:numPr>
          <w:ilvl w:val="0"/>
          <w:numId w:val="18"/>
        </w:numPr>
        <w:jc w:val="both"/>
        <w:rPr>
          <w:rFonts w:ascii="Arial" w:hAnsi="Arial" w:cs="Arial"/>
          <w:sz w:val="22"/>
          <w:szCs w:val="22"/>
        </w:rPr>
      </w:pPr>
      <w:r>
        <w:rPr>
          <w:rFonts w:cs="Arial" w:ascii="Arial" w:hAnsi="Arial"/>
          <w:sz w:val="22"/>
          <w:szCs w:val="22"/>
        </w:rPr>
        <w:t>informacji z Krajowego Rejestru Karnego w zakresie:</w:t>
      </w:r>
    </w:p>
    <w:p>
      <w:pPr>
        <w:pStyle w:val="Default"/>
        <w:numPr>
          <w:ilvl w:val="0"/>
          <w:numId w:val="19"/>
        </w:numPr>
        <w:ind w:hanging="360" w:left="1134"/>
        <w:jc w:val="both"/>
        <w:rPr>
          <w:rFonts w:ascii="Arial" w:hAnsi="Arial" w:cs="Arial"/>
          <w:sz w:val="22"/>
          <w:szCs w:val="22"/>
        </w:rPr>
      </w:pPr>
      <w:r>
        <w:rPr>
          <w:rFonts w:cs="Arial" w:ascii="Arial" w:hAnsi="Arial"/>
          <w:sz w:val="22"/>
          <w:szCs w:val="22"/>
        </w:rPr>
        <w:t>art. 108 ust. 1 pkt 1 i 2 ustawy Pzp,</w:t>
      </w:r>
    </w:p>
    <w:p>
      <w:pPr>
        <w:pStyle w:val="Default"/>
        <w:numPr>
          <w:ilvl w:val="0"/>
          <w:numId w:val="19"/>
        </w:numPr>
        <w:ind w:hanging="360" w:left="1134"/>
        <w:jc w:val="both"/>
        <w:rPr>
          <w:rFonts w:ascii="Arial" w:hAnsi="Arial" w:cs="Arial"/>
          <w:sz w:val="22"/>
          <w:szCs w:val="22"/>
        </w:rPr>
      </w:pPr>
      <w:r>
        <w:rPr>
          <w:rFonts w:cs="Arial" w:ascii="Arial" w:hAnsi="Arial"/>
          <w:sz w:val="22"/>
          <w:szCs w:val="22"/>
        </w:rPr>
        <w:t>art. 108 ust. 1 pkt 4 ustawy Pzp, dotyczącej orzeczenia zakazu ubiegania się o zamówienie publiczne tytułem środka karnego,</w:t>
      </w:r>
    </w:p>
    <w:p>
      <w:pPr>
        <w:pStyle w:val="Default"/>
        <w:tabs>
          <w:tab w:val="clear" w:pos="708"/>
          <w:tab w:val="left" w:pos="1134" w:leader="none"/>
        </w:tabs>
        <w:ind w:left="851"/>
        <w:jc w:val="both"/>
        <w:rPr>
          <w:rFonts w:ascii="Arial" w:hAnsi="Arial" w:cs="Arial"/>
          <w:sz w:val="22"/>
          <w:szCs w:val="22"/>
        </w:rPr>
      </w:pPr>
      <w:r>
        <w:rPr>
          <w:rFonts w:cs="Arial" w:ascii="Arial" w:hAnsi="Arial"/>
          <w:sz w:val="22"/>
          <w:szCs w:val="22"/>
        </w:rPr>
        <w:t>–</w:t>
      </w:r>
      <w:r>
        <w:rPr>
          <w:rFonts w:cs="Arial" w:ascii="Arial" w:hAnsi="Arial"/>
          <w:sz w:val="22"/>
          <w:szCs w:val="22"/>
        </w:rPr>
        <w:tab/>
        <w:t>sporządzonej nie wcześniej niż 6 miesięcy przed jej złożeniem;</w:t>
      </w:r>
    </w:p>
    <w:p>
      <w:pPr>
        <w:pStyle w:val="Default"/>
        <w:numPr>
          <w:ilvl w:val="0"/>
          <w:numId w:val="18"/>
        </w:numPr>
        <w:ind w:hanging="426" w:left="852"/>
        <w:jc w:val="both"/>
        <w:rPr>
          <w:rFonts w:ascii="Arial" w:hAnsi="Arial" w:cs="Arial"/>
          <w:sz w:val="22"/>
          <w:szCs w:val="22"/>
        </w:rPr>
      </w:pPr>
      <w:r>
        <w:rPr>
          <w:rFonts w:cs="Arial" w:ascii="Arial" w:hAnsi="Arial"/>
          <w:sz w:val="22"/>
          <w:szCs w:val="22"/>
        </w:rPr>
        <w:t>oświadczenia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pPr>
        <w:pStyle w:val="Default"/>
        <w:numPr>
          <w:ilvl w:val="0"/>
          <w:numId w:val="18"/>
        </w:numPr>
        <w:ind w:hanging="426" w:left="852"/>
        <w:jc w:val="both"/>
        <w:rPr>
          <w:rFonts w:ascii="Arial" w:hAnsi="Arial" w:cs="Arial"/>
          <w:sz w:val="22"/>
          <w:szCs w:val="22"/>
        </w:rPr>
      </w:pPr>
      <w:r>
        <w:rPr>
          <w:rFonts w:cs="Arial" w:ascii="Arial" w:hAnsi="Arial"/>
          <w:sz w:val="22"/>
          <w:szCs w:val="22"/>
        </w:rPr>
        <w:t>oświadczenia wykonawcy o aktualności informacji zawartych w oświadczeniu, o którym mowa w art. 125 ust. 1 ustawy Pzp, w zakresie podstaw wykluczenia z postępowania wskazanych przez zamawiającego, o których mowa w:</w:t>
      </w:r>
    </w:p>
    <w:p>
      <w:pPr>
        <w:pStyle w:val="Default"/>
        <w:numPr>
          <w:ilvl w:val="0"/>
          <w:numId w:val="20"/>
        </w:numPr>
        <w:ind w:hanging="425" w:left="1276"/>
        <w:jc w:val="both"/>
        <w:rPr>
          <w:rFonts w:ascii="Arial" w:hAnsi="Arial" w:cs="Arial"/>
          <w:sz w:val="22"/>
          <w:szCs w:val="22"/>
        </w:rPr>
      </w:pPr>
      <w:r>
        <w:rPr>
          <w:rFonts w:cs="Arial" w:ascii="Arial" w:hAnsi="Arial"/>
          <w:sz w:val="22"/>
          <w:szCs w:val="22"/>
        </w:rPr>
        <w:t>art. 108 ust. 1 pkt 3 ustawy Pzp,</w:t>
      </w:r>
    </w:p>
    <w:p>
      <w:pPr>
        <w:pStyle w:val="Default"/>
        <w:numPr>
          <w:ilvl w:val="0"/>
          <w:numId w:val="20"/>
        </w:numPr>
        <w:ind w:hanging="425" w:left="1276"/>
        <w:jc w:val="both"/>
        <w:rPr>
          <w:rFonts w:ascii="Arial" w:hAnsi="Arial" w:cs="Arial"/>
          <w:sz w:val="22"/>
          <w:szCs w:val="22"/>
        </w:rPr>
      </w:pPr>
      <w:r>
        <w:rPr>
          <w:rFonts w:cs="Arial" w:ascii="Arial" w:hAnsi="Arial"/>
          <w:sz w:val="22"/>
          <w:szCs w:val="22"/>
        </w:rPr>
        <w:t>art. 108 ust. 1 pkt 4 ustawy Pzp, dotyczących orzeczenia zakazu ubiegania się o zamówienie publiczne tytułem środka zapobiegawczego,</w:t>
      </w:r>
    </w:p>
    <w:p>
      <w:pPr>
        <w:pStyle w:val="Default"/>
        <w:numPr>
          <w:ilvl w:val="0"/>
          <w:numId w:val="20"/>
        </w:numPr>
        <w:ind w:hanging="425" w:left="1276"/>
        <w:jc w:val="both"/>
        <w:rPr>
          <w:rFonts w:ascii="Arial" w:hAnsi="Arial" w:cs="Arial"/>
          <w:sz w:val="22"/>
          <w:szCs w:val="22"/>
        </w:rPr>
      </w:pPr>
      <w:r>
        <w:rPr>
          <w:rFonts w:cs="Arial" w:ascii="Arial" w:hAnsi="Arial"/>
          <w:sz w:val="22"/>
          <w:szCs w:val="22"/>
        </w:rPr>
        <w:t>art. 108 ust. 1 pkt 5 ustawy Pzp, dotyczących zawarcia z innymi wykonawcami porozumienia mającego na celu zakłócenie konkurencji,</w:t>
      </w:r>
    </w:p>
    <w:p>
      <w:pPr>
        <w:pStyle w:val="Default"/>
        <w:numPr>
          <w:ilvl w:val="0"/>
          <w:numId w:val="20"/>
        </w:numPr>
        <w:ind w:hanging="425" w:left="1276"/>
        <w:jc w:val="both"/>
        <w:rPr>
          <w:rFonts w:ascii="Arial" w:hAnsi="Arial" w:cs="Arial"/>
          <w:sz w:val="22"/>
          <w:szCs w:val="22"/>
        </w:rPr>
      </w:pPr>
      <w:r>
        <w:rPr>
          <w:rFonts w:cs="Arial" w:ascii="Arial" w:hAnsi="Arial"/>
          <w:sz w:val="22"/>
          <w:szCs w:val="22"/>
        </w:rPr>
        <w:t>art. 108 ust. 1 pkt 6 ustawy Pzp,</w:t>
      </w:r>
    </w:p>
    <w:p>
      <w:pPr>
        <w:pStyle w:val="Default"/>
        <w:numPr>
          <w:ilvl w:val="0"/>
          <w:numId w:val="20"/>
        </w:numPr>
        <w:ind w:hanging="425" w:left="1276"/>
        <w:jc w:val="both"/>
        <w:rPr>
          <w:rFonts w:ascii="Arial" w:hAnsi="Arial" w:cs="Arial"/>
          <w:sz w:val="22"/>
          <w:szCs w:val="22"/>
        </w:rPr>
      </w:pPr>
      <w:bookmarkStart w:id="7" w:name="_Hlk150198439"/>
      <w:r>
        <w:rPr>
          <w:rFonts w:cs="Arial" w:ascii="Arial" w:hAnsi="Arial"/>
          <w:sz w:val="22"/>
          <w:szCs w:val="22"/>
        </w:rPr>
        <w:t>art. 109 ust. 1 pkt 5 i 7 ustawy Pzp.</w:t>
      </w:r>
      <w:bookmarkEnd w:id="7"/>
    </w:p>
    <w:p>
      <w:pPr>
        <w:pStyle w:val="Default"/>
        <w:ind w:hanging="426" w:left="852"/>
        <w:jc w:val="both"/>
        <w:rPr>
          <w:rFonts w:ascii="Arial" w:hAnsi="Arial" w:cs="Arial"/>
          <w:sz w:val="22"/>
          <w:szCs w:val="22"/>
        </w:rPr>
      </w:pPr>
      <w:r>
        <w:rPr>
          <w:rFonts w:cs="Arial" w:ascii="Arial" w:hAnsi="Arial"/>
          <w:sz w:val="22"/>
          <w:szCs w:val="22"/>
        </w:rPr>
        <w:t>Uwaga:</w:t>
      </w:r>
    </w:p>
    <w:p>
      <w:pPr>
        <w:pStyle w:val="Default"/>
        <w:ind w:left="426"/>
        <w:jc w:val="both"/>
        <w:rPr>
          <w:rFonts w:ascii="Arial" w:hAnsi="Arial" w:cs="Arial"/>
          <w:sz w:val="22"/>
          <w:szCs w:val="22"/>
        </w:rPr>
      </w:pPr>
      <w:r>
        <w:rPr>
          <w:rFonts w:cs="Arial" w:ascii="Arial" w:hAnsi="Arial"/>
          <w:sz w:val="22"/>
          <w:szCs w:val="22"/>
        </w:rPr>
        <w:t>W przypadku wspólnego ubiegania się o zamówienie przez Wykonawców, oświadczenia i dokumenty w zakresie ppkt. A składa każdy z Wykonawców wspólnie ubiegających się o zamówienie.</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22"/>
        </w:numPr>
        <w:jc w:val="both"/>
        <w:rPr>
          <w:rFonts w:ascii="Arial" w:hAnsi="Arial" w:cs="Arial"/>
          <w:b/>
          <w:sz w:val="22"/>
          <w:szCs w:val="22"/>
        </w:rPr>
      </w:pPr>
      <w:r>
        <w:rPr>
          <w:rFonts w:cs="Arial" w:ascii="Arial" w:hAnsi="Arial"/>
          <w:b/>
          <w:sz w:val="22"/>
          <w:szCs w:val="22"/>
        </w:rPr>
        <w:t xml:space="preserve">Jeżeli wykonawca ma siedzibę lub miejsce zamieszkania poza granicami Rzeczypospolitej Polskiej, zamiast </w:t>
      </w:r>
      <w:r>
        <w:rPr>
          <w:rFonts w:cs="Arial" w:ascii="Arial" w:hAnsi="Arial"/>
          <w:sz w:val="22"/>
          <w:szCs w:val="22"/>
        </w:rPr>
        <w:t>informacji z Krajowego Rejestru Karnego, o której mowa w ppkt A.1 powyżej – składa:</w:t>
      </w:r>
    </w:p>
    <w:p>
      <w:pPr>
        <w:pStyle w:val="Default"/>
        <w:ind w:left="786"/>
        <w:jc w:val="both"/>
        <w:rPr>
          <w:rFonts w:ascii="Arial" w:hAnsi="Arial" w:cs="Arial"/>
          <w:b/>
          <w:sz w:val="22"/>
          <w:szCs w:val="22"/>
        </w:rPr>
      </w:pPr>
      <w:r>
        <w:rPr>
          <w:rFonts w:cs="Arial" w:ascii="Arial" w:hAnsi="Arial"/>
          <w:sz w:val="22"/>
          <w:szCs w:val="22"/>
        </w:rPr>
        <w:t>-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ppkt A.1 powyżej. Dokument ten powinien być wystawiony nie wcześniej niż 6 miesięcy przed jego złożeniem.</w:t>
      </w:r>
    </w:p>
    <w:p>
      <w:pPr>
        <w:pStyle w:val="Default"/>
        <w:ind w:left="786"/>
        <w:jc w:val="both"/>
        <w:rPr>
          <w:rFonts w:ascii="Arial" w:hAnsi="Arial" w:cs="Arial"/>
          <w:b/>
          <w:sz w:val="22"/>
          <w:szCs w:val="22"/>
        </w:rPr>
      </w:pPr>
      <w:r>
        <w:rPr>
          <w:rFonts w:cs="Arial" w:ascii="Arial" w:hAnsi="Arial"/>
          <w:sz w:val="22"/>
          <w:szCs w:val="22"/>
        </w:rPr>
        <w:t>Jeżeli w kraju, w którym wykonawca ma siedzibę lub miejsce zamieszkania, nie wydaje się powyższych dokumentów, o których mowa w ppkt A.1,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Pr>
          <w:rFonts w:cs="Arial" w:ascii="Arial" w:hAnsi="Arial"/>
          <w:b/>
          <w:sz w:val="22"/>
          <w:szCs w:val="22"/>
        </w:rPr>
        <w:t xml:space="preserve"> </w:t>
      </w:r>
      <w:r>
        <w:rPr>
          <w:rFonts w:cs="Arial" w:ascii="Arial" w:hAnsi="Arial"/>
          <w:sz w:val="22"/>
          <w:szCs w:val="22"/>
        </w:rPr>
        <w:t>Dokument ten powinien być wystawiony nie wcześniej niż 6 miesięcy przed jego złożeniem.</w:t>
      </w:r>
    </w:p>
    <w:p>
      <w:pPr>
        <w:pStyle w:val="Default"/>
        <w:ind w:left="426"/>
        <w:jc w:val="both"/>
        <w:rPr>
          <w:rFonts w:ascii="Arial" w:hAnsi="Arial" w:cs="Arial"/>
          <w:sz w:val="22"/>
          <w:szCs w:val="22"/>
        </w:rPr>
      </w:pPr>
      <w:r>
        <w:rPr>
          <w:rFonts w:cs="Arial" w:ascii="Arial" w:hAnsi="Arial"/>
          <w:sz w:val="22"/>
          <w:szCs w:val="22"/>
        </w:rPr>
      </w:r>
    </w:p>
    <w:p>
      <w:pPr>
        <w:pStyle w:val="Default"/>
        <w:numPr>
          <w:ilvl w:val="0"/>
          <w:numId w:val="22"/>
        </w:numPr>
        <w:jc w:val="both"/>
        <w:rPr>
          <w:rFonts w:ascii="Arial" w:hAnsi="Arial" w:cs="Arial"/>
          <w:b/>
          <w:sz w:val="22"/>
          <w:szCs w:val="22"/>
        </w:rPr>
      </w:pPr>
      <w:r>
        <w:rPr>
          <w:rFonts w:cs="Arial" w:ascii="Arial" w:hAnsi="Arial"/>
          <w:b/>
          <w:sz w:val="22"/>
          <w:szCs w:val="22"/>
        </w:rPr>
        <w:t>W celu potwierdzenia spełniania przez wykonawcę warunków udziału w postępowaniu, Zamawiający żąda następujących podmiotowych środków dowodowych:</w:t>
      </w:r>
    </w:p>
    <w:p>
      <w:pPr>
        <w:pStyle w:val="Default"/>
        <w:numPr>
          <w:ilvl w:val="0"/>
          <w:numId w:val="21"/>
        </w:numPr>
        <w:ind w:hanging="425" w:left="851"/>
        <w:jc w:val="both"/>
        <w:rPr>
          <w:rFonts w:ascii="Arial" w:hAnsi="Arial" w:cs="Arial"/>
          <w:sz w:val="22"/>
          <w:szCs w:val="22"/>
        </w:rPr>
      </w:pPr>
      <w:r>
        <w:rPr>
          <w:rFonts w:cs="Arial" w:ascii="Arial" w:hAnsi="Arial"/>
          <w:sz w:val="22"/>
          <w:szCs w:val="22"/>
        </w:rPr>
        <w:t>dotyczących sytuacji ekonomicznej lub finansowej:</w:t>
      </w:r>
    </w:p>
    <w:p>
      <w:pPr>
        <w:pStyle w:val="Default"/>
        <w:ind w:left="851"/>
        <w:jc w:val="both"/>
        <w:rPr>
          <w:rFonts w:ascii="Arial" w:hAnsi="Arial" w:cs="Arial"/>
          <w:sz w:val="22"/>
          <w:szCs w:val="22"/>
        </w:rPr>
      </w:pPr>
      <w:r>
        <w:rPr>
          <w:rFonts w:cs="Arial" w:ascii="Arial" w:hAnsi="Arial"/>
          <w:sz w:val="22"/>
          <w:szCs w:val="22"/>
        </w:rPr>
        <w:t>- zamawiający żąda, w szczególności, następujących podmiotowych środków dowodowych:</w:t>
      </w:r>
    </w:p>
    <w:p>
      <w:pPr>
        <w:pStyle w:val="Default"/>
        <w:ind w:hanging="425" w:left="1276"/>
        <w:jc w:val="both"/>
        <w:rPr>
          <w:rFonts w:ascii="Arial" w:hAnsi="Arial" w:cs="Arial"/>
          <w:sz w:val="22"/>
          <w:szCs w:val="22"/>
        </w:rPr>
      </w:pPr>
      <w:r>
        <w:rPr>
          <w:rFonts w:cs="Arial" w:ascii="Arial" w:hAnsi="Arial"/>
          <w:sz w:val="22"/>
          <w:szCs w:val="22"/>
        </w:rPr>
        <w:t>a)</w:t>
        <w:tab/>
        <w:t>informacji banku lub spółdzielczej kasy oszczędnościowo-kredytowej potwierdzającej wysokość posiadanych środków finansowych lub zdolność kredytową wykonawcy, w okresie nie wcześniejszym niż 3 miesiące przed jej złożeniem;</w:t>
      </w:r>
    </w:p>
    <w:p>
      <w:pPr>
        <w:pStyle w:val="Default"/>
        <w:ind w:left="851"/>
        <w:jc w:val="both"/>
        <w:rPr>
          <w:rFonts w:ascii="Arial" w:hAnsi="Arial" w:cs="Arial"/>
          <w:sz w:val="22"/>
          <w:szCs w:val="22"/>
        </w:rPr>
      </w:pPr>
      <w:r>
        <w:rPr>
          <w:rFonts w:cs="Arial" w:ascii="Arial" w:hAnsi="Arial"/>
          <w:sz w:val="22"/>
          <w:szCs w:val="22"/>
        </w:rPr>
        <w:t>Jeżeli z uzasadnionej przyczyny wykonawca nie może złożyć wymaganych przez zamawiającego podmiotowych środków dowodowych, o których mowa w tym ppkt., wykonawca składa inne podmiotowe środki dowodowe, które w wystarczający sposób potwierdzają spełnianie opisanego przez zamawiającego warunku udziału w postępowaniu dotyczącego sytuacji ekonomicznej lub finansowej.</w:t>
      </w:r>
    </w:p>
    <w:p>
      <w:pPr>
        <w:pStyle w:val="Default"/>
        <w:numPr>
          <w:ilvl w:val="0"/>
          <w:numId w:val="21"/>
        </w:numPr>
        <w:ind w:hanging="425" w:left="851"/>
        <w:jc w:val="both"/>
        <w:rPr>
          <w:rFonts w:ascii="Arial" w:hAnsi="Arial" w:cs="Arial"/>
          <w:sz w:val="22"/>
          <w:szCs w:val="22"/>
        </w:rPr>
      </w:pPr>
      <w:r>
        <w:rPr>
          <w:rFonts w:cs="Arial" w:ascii="Arial" w:hAnsi="Arial"/>
          <w:sz w:val="22"/>
          <w:szCs w:val="22"/>
        </w:rPr>
        <w:t>dotyczących zdolności technicznej lub zawodowej:</w:t>
      </w:r>
    </w:p>
    <w:p>
      <w:pPr>
        <w:pStyle w:val="Default"/>
        <w:ind w:left="851"/>
        <w:jc w:val="both"/>
        <w:rPr>
          <w:rFonts w:ascii="Arial" w:hAnsi="Arial" w:cs="Arial"/>
          <w:sz w:val="22"/>
          <w:szCs w:val="22"/>
        </w:rPr>
      </w:pPr>
      <w:r>
        <w:rPr>
          <w:rFonts w:cs="Arial" w:ascii="Arial" w:hAnsi="Arial"/>
          <w:sz w:val="22"/>
          <w:szCs w:val="22"/>
        </w:rPr>
        <w:t>- zamawiający żąda następujących podmiotowych środków dowodowych:</w:t>
      </w:r>
    </w:p>
    <w:p>
      <w:pPr>
        <w:pStyle w:val="Default"/>
        <w:ind w:hanging="425" w:left="1276"/>
        <w:jc w:val="both"/>
        <w:rPr>
          <w:rFonts w:ascii="Arial" w:hAnsi="Arial" w:cs="Arial"/>
          <w:color w:val="auto"/>
          <w:sz w:val="22"/>
          <w:szCs w:val="22"/>
        </w:rPr>
      </w:pPr>
      <w:r>
        <w:rPr>
          <w:rFonts w:cs="Arial" w:ascii="Arial" w:hAnsi="Arial"/>
          <w:sz w:val="22"/>
          <w:szCs w:val="22"/>
        </w:rPr>
        <w:t>a)</w:t>
        <w:tab/>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w:t>
      </w:r>
      <w:r>
        <w:rPr>
          <w:rFonts w:cs="Arial" w:ascii="Arial" w:hAnsi="Arial"/>
          <w:color w:val="auto"/>
          <w:sz w:val="22"/>
          <w:szCs w:val="22"/>
        </w:rPr>
        <w:t xml:space="preserve">budowlane zostały wykonane, a jeżeli wykonawca z przyczyn niezależnych od niego nie jest w stanie uzyskać tych dokumentów – inne odpowiednie dokumenty, zgodnie z </w:t>
      </w:r>
      <w:r>
        <w:rPr>
          <w:rFonts w:cs="Arial" w:ascii="Arial" w:hAnsi="Arial"/>
          <w:b/>
          <w:color w:val="auto"/>
          <w:sz w:val="22"/>
          <w:szCs w:val="22"/>
        </w:rPr>
        <w:t>załącznikiem nr 7a do SWZ</w:t>
      </w:r>
      <w:r>
        <w:rPr>
          <w:rFonts w:cs="Arial" w:ascii="Arial" w:hAnsi="Arial"/>
          <w:color w:val="auto"/>
          <w:sz w:val="22"/>
          <w:szCs w:val="22"/>
        </w:rPr>
        <w:t>.</w:t>
      </w:r>
    </w:p>
    <w:p>
      <w:pPr>
        <w:pStyle w:val="Default"/>
        <w:ind w:left="1276"/>
        <w:jc w:val="both"/>
        <w:rPr>
          <w:rFonts w:ascii="Arial" w:hAnsi="Arial" w:cs="Arial"/>
          <w:color w:val="auto"/>
          <w:sz w:val="22"/>
          <w:szCs w:val="22"/>
        </w:rPr>
      </w:pPr>
      <w:r>
        <w:rPr>
          <w:rFonts w:cs="Arial" w:ascii="Arial" w:hAnsi="Arial"/>
          <w:color w:val="auto"/>
          <w:sz w:val="22"/>
          <w:szCs w:val="22"/>
        </w:rPr>
        <w:t>Ww. okres liczy się wstecz od dnia w którym upływa termin składania ofert.</w:t>
      </w:r>
    </w:p>
    <w:p>
      <w:pPr>
        <w:pStyle w:val="Default"/>
        <w:ind w:left="1276"/>
        <w:jc w:val="both"/>
        <w:rPr>
          <w:rFonts w:ascii="Arial" w:hAnsi="Arial" w:cs="Arial"/>
          <w:color w:val="auto"/>
          <w:sz w:val="22"/>
          <w:szCs w:val="22"/>
        </w:rPr>
      </w:pPr>
      <w:r>
        <w:rPr>
          <w:rFonts w:cs="Arial" w:ascii="Arial" w:hAnsi="Arial"/>
          <w:color w:val="auto"/>
          <w:sz w:val="22"/>
          <w:szCs w:val="22"/>
        </w:rPr>
        <w:t>Jeżeli wykonawca powołuje się na doświadczenie w realizacji robót budowlanych wykonywanych wspólnie z innymi wykonawcami, wykaz dotyczy robót budowlanych, w których wykonaniu wykonawca ten bezpośrednio uczestniczył.</w:t>
      </w:r>
    </w:p>
    <w:p>
      <w:pPr>
        <w:pStyle w:val="Default"/>
        <w:ind w:hanging="425" w:left="1276"/>
        <w:jc w:val="both"/>
        <w:rPr>
          <w:rFonts w:ascii="Arial" w:hAnsi="Arial" w:cs="Arial"/>
          <w:color w:val="auto"/>
          <w:sz w:val="22"/>
          <w:szCs w:val="22"/>
        </w:rPr>
      </w:pPr>
      <w:r>
        <w:rPr>
          <w:rFonts w:cs="Arial" w:ascii="Arial" w:hAnsi="Arial"/>
          <w:color w:val="auto"/>
          <w:sz w:val="22"/>
          <w:szCs w:val="22"/>
        </w:rPr>
        <w:t>b)</w:t>
        <w:tab/>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w:t>
      </w:r>
      <w:r>
        <w:rPr>
          <w:rFonts w:cs="Arial" w:ascii="Arial" w:hAnsi="Arial"/>
          <w:b/>
          <w:color w:val="auto"/>
          <w:sz w:val="22"/>
          <w:szCs w:val="22"/>
        </w:rPr>
        <w:t>załącznikiem nr 7b do SWZ</w:t>
      </w:r>
      <w:r>
        <w:rPr>
          <w:rFonts w:cs="Arial" w:ascii="Arial" w:hAnsi="Arial"/>
          <w:color w:val="auto"/>
          <w:sz w:val="22"/>
          <w:szCs w:val="22"/>
        </w:rPr>
        <w:t>.</w:t>
      </w:r>
    </w:p>
    <w:p>
      <w:pPr>
        <w:pStyle w:val="Default"/>
        <w:ind w:hanging="426" w:left="852"/>
        <w:jc w:val="both"/>
        <w:rPr>
          <w:rFonts w:ascii="Arial" w:hAnsi="Arial" w:cs="Arial"/>
          <w:color w:val="auto"/>
          <w:sz w:val="22"/>
          <w:szCs w:val="22"/>
        </w:rPr>
      </w:pPr>
      <w:r>
        <w:rPr>
          <w:rFonts w:cs="Arial" w:ascii="Arial" w:hAnsi="Arial"/>
          <w:color w:val="auto"/>
          <w:sz w:val="22"/>
          <w:szCs w:val="22"/>
        </w:rPr>
      </w:r>
    </w:p>
    <w:p>
      <w:pPr>
        <w:pStyle w:val="Default"/>
        <w:numPr>
          <w:ilvl w:val="0"/>
          <w:numId w:val="22"/>
        </w:numPr>
        <w:jc w:val="both"/>
        <w:rPr>
          <w:rFonts w:ascii="Arial" w:hAnsi="Arial" w:cs="Arial"/>
          <w:color w:val="auto"/>
          <w:sz w:val="22"/>
          <w:szCs w:val="22"/>
        </w:rPr>
      </w:pPr>
      <w:r>
        <w:rPr>
          <w:rFonts w:cs="Arial" w:ascii="Arial" w:hAnsi="Arial"/>
          <w:color w:val="auto"/>
          <w:sz w:val="22"/>
          <w:szCs w:val="22"/>
        </w:rPr>
        <w:t>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pPr>
        <w:pStyle w:val="Default"/>
        <w:ind w:left="786"/>
        <w:jc w:val="both"/>
        <w:rPr>
          <w:rFonts w:ascii="Arial" w:hAnsi="Arial" w:cs="Arial"/>
          <w:color w:val="auto"/>
          <w:sz w:val="22"/>
          <w:szCs w:val="22"/>
        </w:rPr>
      </w:pPr>
      <w:r>
        <w:rPr>
          <w:rFonts w:cs="Arial" w:ascii="Arial" w:hAnsi="Arial"/>
          <w:color w:val="auto"/>
          <w:sz w:val="22"/>
          <w:szCs w:val="22"/>
        </w:rPr>
        <w:t>Przepisy te stosuje się odpowiednio do podmiotowych środków dowodowych dotyczących podmiotu udostępniającego zasoby na zasadach określonych w art. 118 ustawy Pzp.</w:t>
      </w:r>
    </w:p>
    <w:p>
      <w:pPr>
        <w:pStyle w:val="Default"/>
        <w:ind w:hanging="426" w:left="852"/>
        <w:jc w:val="both"/>
        <w:rPr>
          <w:rFonts w:ascii="Arial" w:hAnsi="Arial" w:cs="Arial"/>
          <w:color w:val="auto"/>
          <w:sz w:val="22"/>
          <w:szCs w:val="22"/>
        </w:rPr>
      </w:pPr>
      <w:r>
        <w:rPr>
          <w:rFonts w:cs="Arial" w:ascii="Arial" w:hAnsi="Arial"/>
          <w:color w:val="auto"/>
          <w:sz w:val="22"/>
          <w:szCs w:val="22"/>
        </w:rPr>
      </w:r>
    </w:p>
    <w:p>
      <w:pPr>
        <w:pStyle w:val="Default"/>
        <w:numPr>
          <w:ilvl w:val="0"/>
          <w:numId w:val="22"/>
        </w:numPr>
        <w:jc w:val="both"/>
        <w:rPr>
          <w:rFonts w:ascii="Arial" w:hAnsi="Arial" w:cs="Arial"/>
          <w:color w:val="auto"/>
          <w:sz w:val="22"/>
          <w:szCs w:val="22"/>
        </w:rPr>
      </w:pPr>
      <w:r>
        <w:rPr>
          <w:rFonts w:cs="Arial" w:ascii="Arial" w:hAnsi="Arial"/>
          <w:color w:val="auto"/>
          <w:sz w:val="22"/>
          <w:szCs w:val="22"/>
        </w:rPr>
        <w:t>Reprezentacja:</w:t>
      </w:r>
    </w:p>
    <w:p>
      <w:pPr>
        <w:pStyle w:val="Default"/>
        <w:numPr>
          <w:ilvl w:val="0"/>
          <w:numId w:val="23"/>
        </w:numPr>
        <w:ind w:hanging="425" w:left="851"/>
        <w:jc w:val="both"/>
        <w:rPr>
          <w:rFonts w:ascii="Arial" w:hAnsi="Arial" w:cs="Arial"/>
          <w:color w:val="auto"/>
          <w:sz w:val="22"/>
          <w:szCs w:val="22"/>
        </w:rPr>
      </w:pPr>
      <w:r>
        <w:rPr>
          <w:rFonts w:cs="Arial" w:ascii="Arial" w:hAnsi="Arial"/>
          <w:color w:val="auto"/>
          <w:sz w:val="22"/>
          <w:szCs w:val="22"/>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pPr>
        <w:pStyle w:val="Default"/>
        <w:numPr>
          <w:ilvl w:val="0"/>
          <w:numId w:val="23"/>
        </w:numPr>
        <w:ind w:hanging="425" w:left="851"/>
        <w:jc w:val="both"/>
        <w:rPr>
          <w:rFonts w:ascii="Arial" w:hAnsi="Arial" w:cs="Arial"/>
          <w:color w:val="auto"/>
          <w:sz w:val="22"/>
          <w:szCs w:val="22"/>
        </w:rPr>
      </w:pPr>
      <w:r>
        <w:rPr>
          <w:rFonts w:cs="Arial" w:ascii="Arial" w:hAnsi="Arial"/>
          <w:color w:val="auto"/>
          <w:sz w:val="22"/>
          <w:szCs w:val="22"/>
        </w:rPr>
        <w:t>Wykonawca nie jest zobowiązany do złożenia dokumentów, o których mowa w ppkt. 1, jeżeli zamawiający może je uzyskać za pomocą bezpłatnych i ogólnodostępnych baz danych, o ile wykonawca wskazał dane umożliwiające dostęp do tych dokumentów.</w:t>
      </w:r>
    </w:p>
    <w:p>
      <w:pPr>
        <w:pStyle w:val="Default"/>
        <w:numPr>
          <w:ilvl w:val="0"/>
          <w:numId w:val="23"/>
        </w:numPr>
        <w:ind w:hanging="425" w:left="851"/>
        <w:jc w:val="both"/>
        <w:rPr>
          <w:rFonts w:ascii="Arial" w:hAnsi="Arial" w:cs="Arial"/>
          <w:color w:val="auto"/>
          <w:sz w:val="22"/>
          <w:szCs w:val="22"/>
        </w:rPr>
      </w:pPr>
      <w:r>
        <w:rPr>
          <w:rFonts w:cs="Arial" w:ascii="Arial" w:hAnsi="Arial"/>
          <w:color w:val="auto"/>
          <w:sz w:val="22"/>
          <w:szCs w:val="22"/>
        </w:rPr>
        <w:t>Jeżeli w imieniu wykonawcy działa osoba, której umocowanie do jego reprezentowania nie wynika z dokumentów, o których mowa w ppkt. 1, zamawiający może żądać od wykonawcy pełnomocnictwa lub innego dokumentu potwierdzającego umocowanie do reprezentowania wykonawcy.</w:t>
      </w:r>
    </w:p>
    <w:p>
      <w:pPr>
        <w:pStyle w:val="Default"/>
        <w:numPr>
          <w:ilvl w:val="0"/>
          <w:numId w:val="23"/>
        </w:numPr>
        <w:ind w:hanging="425" w:left="851"/>
        <w:jc w:val="both"/>
        <w:rPr>
          <w:rFonts w:ascii="Arial" w:hAnsi="Arial" w:cs="Arial"/>
          <w:color w:val="auto"/>
          <w:sz w:val="22"/>
          <w:szCs w:val="22"/>
        </w:rPr>
      </w:pPr>
      <w:r>
        <w:rPr>
          <w:rFonts w:cs="Arial" w:ascii="Arial" w:hAnsi="Arial"/>
          <w:color w:val="auto"/>
          <w:sz w:val="22"/>
          <w:szCs w:val="22"/>
        </w:rPr>
        <w:t>Przepis ppkt. 3 stosuje się odpowiednio do osoby działającej w imieniu wykonawców wspólnie ubiegających się o udzielenie zamówienia publicznego.</w:t>
      </w:r>
    </w:p>
    <w:p>
      <w:pPr>
        <w:pStyle w:val="Default"/>
        <w:numPr>
          <w:ilvl w:val="0"/>
          <w:numId w:val="23"/>
        </w:numPr>
        <w:ind w:hanging="425" w:left="851"/>
        <w:jc w:val="both"/>
        <w:rPr>
          <w:rFonts w:ascii="Arial" w:hAnsi="Arial" w:cs="Arial"/>
          <w:color w:val="auto"/>
          <w:sz w:val="22"/>
          <w:szCs w:val="22"/>
        </w:rPr>
      </w:pPr>
      <w:r>
        <w:rPr>
          <w:rFonts w:cs="Arial" w:ascii="Arial" w:hAnsi="Arial"/>
          <w:color w:val="auto"/>
          <w:sz w:val="22"/>
          <w:szCs w:val="22"/>
        </w:rPr>
        <w:t>Przepisy ppkt. 1–3 stosuje się odpowiednio do osoby działającej w imieniu podmiotu udostępniającego zasoby na zasadach określonych w art. 118 ustawy Pzp.</w:t>
      </w:r>
    </w:p>
    <w:p>
      <w:pPr>
        <w:pStyle w:val="Default"/>
        <w:ind w:hanging="426" w:left="852"/>
        <w:jc w:val="both"/>
        <w:rPr>
          <w:rFonts w:ascii="Arial" w:hAnsi="Arial" w:cs="Arial"/>
          <w:color w:themeColor="accent6" w:themeShade="bf" w:val="538135"/>
          <w:sz w:val="22"/>
          <w:szCs w:val="22"/>
        </w:rPr>
      </w:pPr>
      <w:r>
        <w:rPr>
          <w:rFonts w:cs="Arial" w:ascii="Arial" w:hAnsi="Arial"/>
          <w:color w:themeColor="accent6" w:themeShade="bf" w:val="538135"/>
          <w:sz w:val="22"/>
          <w:szCs w:val="22"/>
        </w:rPr>
      </w:r>
    </w:p>
    <w:p>
      <w:pPr>
        <w:pStyle w:val="Default"/>
        <w:ind w:left="426"/>
        <w:jc w:val="both"/>
        <w:rPr>
          <w:rFonts w:ascii="Arial" w:hAnsi="Arial" w:cs="Arial"/>
          <w:color w:val="auto"/>
          <w:sz w:val="22"/>
          <w:szCs w:val="22"/>
        </w:rPr>
      </w:pPr>
      <w:r>
        <w:rPr>
          <w:rFonts w:cs="Arial" w:ascii="Arial" w:hAnsi="Arial"/>
          <w:color w:val="auto"/>
          <w:sz w:val="22"/>
          <w:szCs w:val="22"/>
        </w:rPr>
        <w:t>W przypadku wskazania przez wykonawcę dostępności podmiotowych środków dowodowych lub dokumentów, o których mowa w ppkt E powyżej, pod określonymi adresami internetowymi ogólnodostępnych i bezpłatnych baz danych, zamawiający może żądać od wykonawcy przedstawienia tłumaczenia na język polski pobranych samodzielnie przez zamawiającego podmiotowych środków dowodowych lub dokumentów.</w:t>
      </w:r>
    </w:p>
    <w:p>
      <w:pPr>
        <w:pStyle w:val="Default"/>
        <w:ind w:left="426"/>
        <w:jc w:val="both"/>
        <w:rPr>
          <w:rFonts w:ascii="Arial" w:hAnsi="Arial" w:cs="Arial"/>
          <w:color w:val="auto"/>
          <w:sz w:val="22"/>
          <w:szCs w:val="22"/>
        </w:rPr>
      </w:pPr>
      <w:r>
        <w:rPr>
          <w:rFonts w:cs="Arial" w:ascii="Arial" w:hAnsi="Arial"/>
          <w:color w:val="auto"/>
          <w:sz w:val="22"/>
          <w:szCs w:val="22"/>
        </w:rPr>
        <w:t>Podmiotowe środki dowodowe oraz inne dokumenty lub oświadczenia, o których mowa w tym pkt SWZ, składa się w formie elektronicznej, w postaci elektronicznej opatrzonej podpisem zaufanym lub podpisem osobistym, w formie pisemnej lub w formie dokumentowej, w zakresie i w sposób określony w przepisach wydanych na podstawie art. 70 ustawy, określonych w pkt 22 ppkt 4b SWZ.</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Sposób obliczenia ceny:</w:t>
      </w:r>
    </w:p>
    <w:p>
      <w:pPr>
        <w:pStyle w:val="Default"/>
        <w:ind w:left="426"/>
        <w:jc w:val="both"/>
        <w:rPr>
          <w:rFonts w:ascii="Arial" w:hAnsi="Arial" w:cs="Arial"/>
          <w:b/>
          <w:sz w:val="22"/>
          <w:szCs w:val="22"/>
        </w:rPr>
      </w:pPr>
      <w:r>
        <w:rPr>
          <w:rFonts w:cs="Arial" w:ascii="Arial" w:hAnsi="Arial"/>
          <w:b/>
          <w:sz w:val="22"/>
          <w:szCs w:val="22"/>
        </w:rPr>
        <w:t>Cena oferty stanowi wynagrodzenie ryczałtowe.</w:t>
      </w:r>
    </w:p>
    <w:p>
      <w:pPr>
        <w:pStyle w:val="Default"/>
        <w:ind w:left="426"/>
        <w:jc w:val="both"/>
        <w:rPr>
          <w:rFonts w:ascii="Arial" w:hAnsi="Arial" w:cs="Arial"/>
          <w:sz w:val="22"/>
          <w:szCs w:val="22"/>
        </w:rPr>
      </w:pPr>
      <w:r>
        <w:rPr>
          <w:rFonts w:cs="Arial" w:ascii="Arial" w:hAnsi="Arial"/>
          <w:sz w:val="22"/>
          <w:szCs w:val="22"/>
        </w:rPr>
        <w:t xml:space="preserve">Wykonawca poda cenę brutto oferty (tj. wraz z należnym podatkiem VAT) cyfrowo i słownie w Formularzu oferty sporządzonym według wzoru stanowiącego </w:t>
      </w:r>
      <w:r>
        <w:rPr>
          <w:rFonts w:cs="Arial" w:ascii="Arial" w:hAnsi="Arial"/>
          <w:b/>
          <w:sz w:val="22"/>
          <w:szCs w:val="22"/>
        </w:rPr>
        <w:t>Załącznik nr 2 do SWZ</w:t>
      </w:r>
      <w:r>
        <w:rPr>
          <w:rFonts w:cs="Arial" w:ascii="Arial" w:hAnsi="Arial"/>
          <w:sz w:val="22"/>
          <w:szCs w:val="22"/>
        </w:rPr>
        <w:t>.</w:t>
      </w:r>
    </w:p>
    <w:p>
      <w:pPr>
        <w:pStyle w:val="Default"/>
        <w:ind w:left="426"/>
        <w:jc w:val="both"/>
        <w:rPr>
          <w:rFonts w:ascii="Arial" w:hAnsi="Arial" w:cs="Arial"/>
          <w:sz w:val="22"/>
          <w:szCs w:val="22"/>
        </w:rPr>
      </w:pPr>
      <w:r>
        <w:rPr>
          <w:rFonts w:cs="Arial" w:ascii="Arial" w:hAnsi="Arial"/>
          <w:sz w:val="22"/>
          <w:szCs w:val="22"/>
        </w:rPr>
        <w:t>Dodatkowo Wykonawca poda w Formularzu oferty cenę netto oferty, oraz wartość i stawkę /stawki podatku VAT, właściwą/e dla przedmiotu zamówienia, obowiązującą/e według stanu prawnego na dzień składania ofert.</w:t>
      </w:r>
    </w:p>
    <w:p>
      <w:pPr>
        <w:pStyle w:val="Default"/>
        <w:ind w:left="426"/>
        <w:jc w:val="both"/>
        <w:rPr>
          <w:rFonts w:ascii="Arial" w:hAnsi="Arial" w:cs="Arial"/>
          <w:sz w:val="22"/>
          <w:szCs w:val="22"/>
        </w:rPr>
      </w:pPr>
      <w:r>
        <w:rPr>
          <w:rFonts w:cs="Arial" w:ascii="Arial" w:hAnsi="Arial"/>
          <w:sz w:val="22"/>
          <w:szCs w:val="22"/>
        </w:rPr>
        <w:t>Wskazane powyżej ceny oraz wartość podatku VAT muszą być wyrażone w złotych polskich (PLN), z dokładnością nie większą niż dwa miejsca po przecinku. Rozliczenie między Zamawiającym a Wykonawcą będzie prowadzone w złotych polskich (PLN).</w:t>
      </w:r>
    </w:p>
    <w:p>
      <w:pPr>
        <w:pStyle w:val="Default"/>
        <w:ind w:left="426"/>
        <w:jc w:val="both"/>
        <w:rPr>
          <w:rFonts w:ascii="Arial" w:hAnsi="Arial" w:cs="Arial"/>
          <w:sz w:val="22"/>
          <w:szCs w:val="22"/>
        </w:rPr>
      </w:pPr>
      <w:r>
        <w:rPr>
          <w:rFonts w:cs="Arial" w:ascii="Arial" w:hAnsi="Arial"/>
          <w:sz w:val="22"/>
          <w:szCs w:val="22"/>
        </w:rPr>
        <w:t>W przypadku rozbieżności pomiędzy ceną ryczałtową podaną cyfrowo a słownie, jako wartość właściwa zostanie przyjęta cena ryczałtowa podana cyfrowo.</w:t>
      </w:r>
    </w:p>
    <w:p>
      <w:pPr>
        <w:pStyle w:val="Default"/>
        <w:ind w:left="426"/>
        <w:jc w:val="both"/>
        <w:rPr>
          <w:rFonts w:ascii="Arial" w:hAnsi="Arial" w:cs="Arial"/>
          <w:sz w:val="22"/>
          <w:szCs w:val="22"/>
        </w:rPr>
      </w:pPr>
      <w:r>
        <w:rPr>
          <w:rFonts w:cs="Arial" w:ascii="Arial" w:hAnsi="Arial"/>
          <w:sz w:val="22"/>
          <w:szCs w:val="22"/>
        </w:rPr>
        <w:t>Cena oferty ma charakter ceny ryczałtowej, a więc musi obejmować wynagrodzenie za całkowite i bez wad wykonanie, opisanego w dokumentacji projektowej i opisie przedmiotu zamówienia, pełnego zakresu robót wg zasad wiedzy i sztuki budowlanej, przepisów prawa budowlanego, warunków technicznych wykonania i odbioru robót, norm branżowych oraz wszelkich pozostałych warunków prowadzonego postępowania.</w:t>
      </w:r>
    </w:p>
    <w:p>
      <w:pPr>
        <w:pStyle w:val="Default"/>
        <w:ind w:left="426"/>
        <w:jc w:val="both"/>
        <w:rPr>
          <w:rFonts w:ascii="Arial" w:hAnsi="Arial" w:cs="Arial"/>
          <w:sz w:val="22"/>
          <w:szCs w:val="22"/>
        </w:rPr>
      </w:pPr>
      <w:r>
        <w:rPr>
          <w:rFonts w:cs="Arial" w:ascii="Arial" w:hAnsi="Arial"/>
          <w:sz w:val="22"/>
          <w:szCs w:val="22"/>
        </w:rPr>
        <w:t>Ponadto cena oferty musi uwzględniać wszystkie koszty związane z prawidłową realizacją przedmiotowego zadania wynikające wprost z dokumentacji projektowej, jak również w niej nieujęte, a bez których nie można wykonać zamówienia. Będą to między innymi koszty wszelkich robót przygotowawczych, porządkowych, zagospodarowania placu budowy, utrzymania zaplecza budowy, dozorowania budowy, wywozu gruzu oraz nadmiaru gruntu, prac geodezyjnych, koszty przeprowadzenia ostatecznych prób i sprawdzeń niezbędnych do uzyskania pozwolenia na użytkowanie, koszty produkcji i dostawy budynku modułowego i innych czynności niezbędnych do prawidłowego wykonania przedmiotu zamówienia.</w:t>
      </w:r>
    </w:p>
    <w:p>
      <w:pPr>
        <w:pStyle w:val="Default"/>
        <w:ind w:left="426"/>
        <w:jc w:val="both"/>
        <w:rPr>
          <w:rFonts w:ascii="Arial" w:hAnsi="Arial" w:cs="Arial"/>
          <w:sz w:val="22"/>
          <w:szCs w:val="22"/>
        </w:rPr>
      </w:pPr>
      <w:r>
        <w:rPr>
          <w:rFonts w:cs="Arial" w:ascii="Arial" w:hAnsi="Arial"/>
          <w:sz w:val="22"/>
          <w:szCs w:val="22"/>
        </w:rPr>
        <w:t>Niedoszacowanie, pominięcie oraz brak rozpoznania zakresu przedmiotu zamówienia nie może być podstawą do żądania zmiany wynagrodzenia ryczałtowego określonego w ofercie.</w:t>
      </w:r>
    </w:p>
    <w:p>
      <w:pPr>
        <w:pStyle w:val="Default"/>
        <w:ind w:left="426"/>
        <w:jc w:val="both"/>
        <w:rPr>
          <w:rFonts w:ascii="Arial" w:hAnsi="Arial" w:cs="Arial"/>
          <w:sz w:val="22"/>
          <w:szCs w:val="22"/>
        </w:rPr>
      </w:pPr>
      <w:r>
        <w:rPr>
          <w:rFonts w:cs="Arial" w:ascii="Arial" w:hAnsi="Arial"/>
          <w:sz w:val="22"/>
          <w:szCs w:val="22"/>
        </w:rPr>
        <w:t>Wykonawca musi przewidzieć wszystkie okoliczności, które mogą wpłynąć na cenę zamówienia, gdyż załączony do SWZ przedmiar robót stanowi jedynie podstawę informacyjną o zakresie przedmiotu zamówienia i jest elementem pomocniczym do sporządzenia oferty i oszacowania jej ceny oraz następnie na etapie realizacji umowy sporządzenia kosztorysu ofertowego, stanowiącego narzędzie pomocnicze przy rozliczeniu inwestycji lub ewentualnym odstąpieniu od umowy. Wszystkie błędy ujawnione w powyższej dokumentacji Wykonawca powinien zgłosić Zamawiającemu przed terminem składania ofert.</w:t>
      </w:r>
    </w:p>
    <w:p>
      <w:pPr>
        <w:pStyle w:val="Default"/>
        <w:ind w:left="426"/>
        <w:jc w:val="both"/>
        <w:rPr>
          <w:rFonts w:ascii="Arial" w:hAnsi="Arial" w:cs="Arial"/>
          <w:sz w:val="22"/>
          <w:szCs w:val="22"/>
        </w:rPr>
      </w:pPr>
      <w:r>
        <w:rPr>
          <w:rFonts w:cs="Arial" w:ascii="Arial" w:hAnsi="Arial"/>
          <w:sz w:val="22"/>
          <w:szCs w:val="22"/>
        </w:rPr>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Opis kryteriów oceny ofert, wraz z podaniem wag tych kryteriów, i sposobu oceny ofert:</w:t>
      </w:r>
    </w:p>
    <w:p>
      <w:pPr>
        <w:pStyle w:val="Default"/>
        <w:ind w:hanging="426" w:left="852"/>
        <w:jc w:val="both"/>
        <w:rPr>
          <w:rFonts w:ascii="Arial" w:hAnsi="Arial" w:cs="Arial"/>
          <w:sz w:val="22"/>
          <w:szCs w:val="22"/>
        </w:rPr>
      </w:pPr>
      <w:r>
        <w:rPr>
          <w:rFonts w:cs="Arial" w:ascii="Arial" w:hAnsi="Arial"/>
          <w:b/>
          <w:sz w:val="22"/>
          <w:szCs w:val="22"/>
        </w:rPr>
        <w:t>1</w:t>
      </w:r>
      <w:r>
        <w:rPr>
          <w:rFonts w:cs="Arial" w:ascii="Arial" w:hAnsi="Arial"/>
          <w:sz w:val="22"/>
          <w:szCs w:val="22"/>
        </w:rPr>
        <w:t>.</w:t>
        <w:tab/>
        <w:t>Przy wyborze najkorzystniejszej oferty Zamawiający będzie się kierował następującymi kryteriami:</w:t>
      </w:r>
    </w:p>
    <w:p>
      <w:pPr>
        <w:pStyle w:val="Default"/>
        <w:ind w:hanging="426" w:left="852"/>
        <w:jc w:val="both"/>
        <w:rPr>
          <w:rFonts w:ascii="Arial" w:hAnsi="Arial" w:cs="Arial"/>
          <w:sz w:val="22"/>
          <w:szCs w:val="22"/>
        </w:rPr>
      </w:pPr>
      <w:r>
        <w:rPr>
          <w:rFonts w:cs="Arial" w:ascii="Arial" w:hAnsi="Arial"/>
          <w:sz w:val="22"/>
          <w:szCs w:val="22"/>
        </w:rPr>
        <w:t>a)</w:t>
        <w:tab/>
        <w:t>cena ofertowa (brutto) za realizację przedmiotu zamówienia: 100 % (maksymalnie 100 pkt).</w:t>
      </w:r>
    </w:p>
    <w:p>
      <w:pPr>
        <w:pStyle w:val="Default"/>
        <w:ind w:hanging="426" w:left="852"/>
        <w:jc w:val="both"/>
        <w:rPr>
          <w:rFonts w:ascii="Arial" w:hAnsi="Arial" w:cs="Arial"/>
          <w:sz w:val="22"/>
          <w:szCs w:val="22"/>
        </w:rPr>
      </w:pPr>
      <w:r>
        <w:rPr>
          <w:rFonts w:cs="Arial" w:ascii="Arial" w:hAnsi="Arial"/>
          <w:sz w:val="22"/>
          <w:szCs w:val="22"/>
        </w:rPr>
      </w:r>
    </w:p>
    <w:p>
      <w:pPr>
        <w:pStyle w:val="Default"/>
        <w:ind w:hanging="426" w:left="852"/>
        <w:jc w:val="both"/>
        <w:rPr>
          <w:rFonts w:ascii="Arial" w:hAnsi="Arial" w:cs="Arial"/>
          <w:sz w:val="22"/>
          <w:szCs w:val="22"/>
        </w:rPr>
      </w:pPr>
      <w:r>
        <w:rPr>
          <w:rFonts w:cs="Arial" w:ascii="Arial" w:hAnsi="Arial"/>
          <w:sz w:val="22"/>
          <w:szCs w:val="22"/>
        </w:rPr>
        <w:t>ad. a)</w:t>
      </w:r>
    </w:p>
    <w:p>
      <w:pPr>
        <w:pStyle w:val="Default"/>
        <w:ind w:hanging="426" w:left="852"/>
        <w:jc w:val="both"/>
        <w:rPr>
          <w:rFonts w:ascii="Arial" w:hAnsi="Arial" w:cs="Arial"/>
          <w:sz w:val="22"/>
          <w:szCs w:val="22"/>
        </w:rPr>
      </w:pPr>
      <w:r>
        <w:rPr>
          <w:rFonts w:cs="Arial" w:ascii="Arial" w:hAnsi="Arial"/>
          <w:sz w:val="22"/>
          <w:szCs w:val="22"/>
        </w:rPr>
        <w:t>cena ofertowa (brutto) za realizację przedmiotu zamówienia:</w:t>
      </w:r>
    </w:p>
    <w:p>
      <w:pPr>
        <w:pStyle w:val="Default"/>
        <w:ind w:hanging="426" w:left="852"/>
        <w:jc w:val="both"/>
        <w:rPr>
          <w:rFonts w:ascii="Arial" w:hAnsi="Arial" w:cs="Arial"/>
          <w:sz w:val="22"/>
          <w:szCs w:val="22"/>
        </w:rPr>
      </w:pPr>
      <w:r>
        <w:rPr>
          <w:rFonts w:cs="Arial" w:ascii="Arial" w:hAnsi="Arial"/>
          <w:sz w:val="22"/>
          <w:szCs w:val="22"/>
        </w:rPr>
        <w:t>W ramach w/w kryterium Zamawiający przyzna punkty wg następującego wzoru:</w:t>
      </w:r>
    </w:p>
    <w:p>
      <w:pPr>
        <w:pStyle w:val="Default"/>
        <w:ind w:hanging="426" w:left="852"/>
        <w:jc w:val="both"/>
        <w:rPr>
          <w:rFonts w:ascii="Arial" w:hAnsi="Arial" w:cs="Arial"/>
          <w:sz w:val="22"/>
          <w:szCs w:val="22"/>
        </w:rPr>
      </w:pPr>
      <w:r>
        <w:rPr>
          <w:rFonts w:cs="Arial" w:ascii="Arial" w:hAnsi="Arial"/>
          <w:sz w:val="22"/>
          <w:szCs w:val="22"/>
        </w:rPr>
        <w:t>C = (Cn/Cb) x 100</w:t>
      </w:r>
    </w:p>
    <w:p>
      <w:pPr>
        <w:pStyle w:val="Default"/>
        <w:ind w:hanging="426" w:left="852"/>
        <w:jc w:val="both"/>
        <w:rPr>
          <w:rFonts w:ascii="Arial" w:hAnsi="Arial" w:cs="Arial"/>
          <w:sz w:val="22"/>
          <w:szCs w:val="22"/>
        </w:rPr>
      </w:pPr>
      <w:r>
        <w:rPr>
          <w:rFonts w:cs="Arial" w:ascii="Arial" w:hAnsi="Arial"/>
          <w:sz w:val="22"/>
          <w:szCs w:val="22"/>
        </w:rPr>
        <w:t>gdzie:</w:t>
      </w:r>
    </w:p>
    <w:p>
      <w:pPr>
        <w:pStyle w:val="Default"/>
        <w:ind w:hanging="426" w:left="852"/>
        <w:jc w:val="both"/>
        <w:rPr>
          <w:rFonts w:ascii="Arial" w:hAnsi="Arial" w:cs="Arial"/>
          <w:sz w:val="22"/>
          <w:szCs w:val="22"/>
        </w:rPr>
      </w:pPr>
      <w:r>
        <w:rPr>
          <w:rFonts w:cs="Arial" w:ascii="Arial" w:hAnsi="Arial"/>
          <w:sz w:val="22"/>
          <w:szCs w:val="22"/>
        </w:rPr>
        <w:t>C – liczba punktów w kryterium „cena ofertowa”,</w:t>
      </w:r>
    </w:p>
    <w:p>
      <w:pPr>
        <w:pStyle w:val="Default"/>
        <w:ind w:hanging="426" w:left="852"/>
        <w:jc w:val="both"/>
        <w:rPr>
          <w:rFonts w:ascii="Arial" w:hAnsi="Arial" w:cs="Arial"/>
          <w:sz w:val="22"/>
          <w:szCs w:val="22"/>
        </w:rPr>
      </w:pPr>
      <w:r>
        <w:rPr>
          <w:rFonts w:cs="Arial" w:ascii="Arial" w:hAnsi="Arial"/>
          <w:sz w:val="22"/>
          <w:szCs w:val="22"/>
        </w:rPr>
        <w:t>Cn – cena ofertowa (brutto) najniższa spośród wszystkich ocenianych ofert,</w:t>
      </w:r>
    </w:p>
    <w:p>
      <w:pPr>
        <w:pStyle w:val="Default"/>
        <w:ind w:hanging="426" w:left="852"/>
        <w:jc w:val="both"/>
        <w:rPr>
          <w:rFonts w:ascii="Arial" w:hAnsi="Arial" w:cs="Arial"/>
          <w:sz w:val="22"/>
          <w:szCs w:val="22"/>
        </w:rPr>
      </w:pPr>
      <w:r>
        <w:rPr>
          <w:rFonts w:cs="Arial" w:ascii="Arial" w:hAnsi="Arial"/>
          <w:sz w:val="22"/>
          <w:szCs w:val="22"/>
        </w:rPr>
        <w:t>Cb – cena ofertowa (brutto) oferty badanej.</w:t>
      </w:r>
    </w:p>
    <w:p>
      <w:pPr>
        <w:pStyle w:val="Default"/>
        <w:ind w:left="426"/>
        <w:jc w:val="both"/>
        <w:rPr>
          <w:rFonts w:ascii="Arial" w:hAnsi="Arial" w:eastAsia="Times New Roman" w:cs="Arial"/>
          <w:b/>
          <w:sz w:val="22"/>
        </w:rPr>
      </w:pPr>
      <w:r>
        <w:rPr>
          <w:rFonts w:eastAsia="Times New Roman" w:cs="Arial" w:ascii="Arial" w:hAnsi="Arial"/>
          <w:b/>
          <w:sz w:val="22"/>
        </w:rPr>
      </w:r>
    </w:p>
    <w:p>
      <w:pPr>
        <w:pStyle w:val="Default"/>
        <w:ind w:left="426"/>
        <w:jc w:val="both"/>
        <w:rPr>
          <w:rFonts w:ascii="Arial" w:hAnsi="Arial" w:eastAsia="Times New Roman" w:cs="Arial"/>
          <w:sz w:val="22"/>
        </w:rPr>
      </w:pPr>
      <w:r>
        <w:rPr>
          <w:rFonts w:eastAsia="Times New Roman" w:cs="Arial" w:ascii="Arial" w:hAnsi="Arial"/>
          <w:b/>
          <w:sz w:val="22"/>
        </w:rPr>
        <w:t>Uwaga</w:t>
      </w:r>
      <w:r>
        <w:rPr>
          <w:rFonts w:eastAsia="Times New Roman" w:cs="Arial" w:ascii="Arial" w:hAnsi="Arial"/>
          <w:sz w:val="22"/>
        </w:rPr>
        <w:t>. Jeżeli zostanie złożona oferta, której wybór prowadziłby do powstania u Zamawiającego obowiązku podatkowego zgodnie z ustawą z dnia 11 marca 2004r. o podatku od towarów i usług (t. jedn.: Dz.U. 2022 poz. 931 z późn.zm.), dla celów zastosowania kryterium ceny Zamawiający dolicza do przedstawionej w tej ofercie ceny kwotę podatku od towarów i usług, którą miałby obowiązek rozliczyć.</w:t>
      </w:r>
    </w:p>
    <w:p>
      <w:pPr>
        <w:pStyle w:val="Default"/>
        <w:ind w:left="426"/>
        <w:jc w:val="both"/>
        <w:rPr>
          <w:rFonts w:ascii="Arial" w:hAnsi="Arial" w:eastAsia="Times New Roman" w:cs="Arial"/>
          <w:b/>
          <w:sz w:val="22"/>
        </w:rPr>
      </w:pPr>
      <w:r>
        <w:rPr>
          <w:rFonts w:eastAsia="Times New Roman" w:cs="Arial" w:ascii="Arial" w:hAnsi="Arial"/>
          <w:b/>
          <w:sz w:val="22"/>
        </w:rPr>
      </w:r>
    </w:p>
    <w:p>
      <w:pPr>
        <w:pStyle w:val="Default"/>
        <w:ind w:left="426"/>
        <w:jc w:val="both"/>
        <w:rPr>
          <w:rFonts w:ascii="Arial" w:hAnsi="Arial" w:eastAsia="Times New Roman" w:cs="Arial"/>
          <w:sz w:val="22"/>
        </w:rPr>
      </w:pPr>
      <w:r>
        <w:rPr>
          <w:rFonts w:eastAsia="Times New Roman" w:cs="Arial" w:ascii="Arial" w:hAnsi="Arial"/>
          <w:b/>
          <w:sz w:val="22"/>
        </w:rPr>
        <w:t>Uwaga.</w:t>
      </w:r>
      <w:r>
        <w:rPr>
          <w:rFonts w:eastAsia="Times New Roman" w:cs="Arial" w:ascii="Arial" w:hAnsi="Arial"/>
          <w:sz w:val="22"/>
        </w:rPr>
        <w:t xml:space="preserve"> Przy obliczaniu punktów w kryterium </w:t>
      </w:r>
      <w:r>
        <w:rPr>
          <w:rFonts w:cs="Arial" w:ascii="Arial" w:hAnsi="Arial"/>
          <w:sz w:val="22"/>
          <w:szCs w:val="22"/>
        </w:rPr>
        <w:t>cena ofertowa (brutto) za realizację przedmiotu zamówienia</w:t>
      </w:r>
      <w:r>
        <w:rPr>
          <w:rFonts w:eastAsia="Times New Roman" w:cs="Arial" w:ascii="Arial" w:hAnsi="Arial"/>
          <w:sz w:val="22"/>
        </w:rPr>
        <w:t>,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pPr>
        <w:pStyle w:val="Default"/>
        <w:ind w:left="426"/>
        <w:jc w:val="both"/>
        <w:rPr>
          <w:rFonts w:ascii="Arial" w:hAnsi="Arial" w:eastAsia="Times New Roman" w:cs="Arial"/>
          <w:color w:val="auto"/>
          <w:sz w:val="22"/>
        </w:rPr>
      </w:pPr>
      <w:r>
        <w:rPr>
          <w:rFonts w:eastAsia="Times New Roman" w:cs="Arial" w:ascii="Arial" w:hAnsi="Arial"/>
          <w:color w:val="auto"/>
          <w:sz w:val="22"/>
        </w:rPr>
      </w:r>
    </w:p>
    <w:p>
      <w:pPr>
        <w:pStyle w:val="Normal"/>
        <w:numPr>
          <w:ilvl w:val="0"/>
          <w:numId w:val="3"/>
        </w:numPr>
        <w:spacing w:lineRule="auto" w:line="240" w:before="0" w:after="0"/>
        <w:ind w:hanging="0" w:left="426"/>
        <w:rPr>
          <w:rFonts w:ascii="Arial" w:hAnsi="Arial" w:eastAsia="Times New Roman" w:cs="Arial"/>
          <w:sz w:val="22"/>
        </w:rPr>
      </w:pPr>
      <w:r>
        <w:rPr>
          <w:rFonts w:eastAsia="Times New Roman" w:cs="Arial" w:ascii="Arial" w:hAnsi="Arial"/>
          <w:sz w:val="22"/>
        </w:rPr>
        <w:t>Za ofertę najkorzystniejszą będzie uznana oferta, która przy uwzględnieniu powyższego kryterium i jego wagi otrzyma najwyższą punktację – maksymalnie 100 pkt.</w:t>
      </w:r>
    </w:p>
    <w:p>
      <w:pPr>
        <w:pStyle w:val="Normal"/>
        <w:numPr>
          <w:ilvl w:val="0"/>
          <w:numId w:val="3"/>
        </w:numPr>
        <w:spacing w:lineRule="auto" w:line="240" w:before="0" w:after="0"/>
        <w:ind w:hanging="0" w:left="426"/>
        <w:rPr>
          <w:rFonts w:ascii="Arial" w:hAnsi="Arial" w:eastAsia="Times New Roman" w:cs="Arial"/>
          <w:sz w:val="22"/>
        </w:rPr>
      </w:pPr>
      <w:r>
        <w:rPr>
          <w:rFonts w:eastAsia="Times New Roman" w:cs="Arial" w:ascii="Arial" w:hAnsi="Arial"/>
          <w:sz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pPr>
        <w:pStyle w:val="Normal"/>
        <w:spacing w:lineRule="auto" w:line="240" w:before="0" w:after="0"/>
        <w:ind w:hanging="0" w:left="426"/>
        <w:rPr>
          <w:rFonts w:ascii="Arial" w:hAnsi="Arial" w:eastAsia="Times New Roman" w:cs="Arial"/>
          <w:sz w:val="22"/>
        </w:rPr>
      </w:pPr>
      <w:r>
        <w:rPr>
          <w:rFonts w:eastAsia="Times New Roman" w:cs="Arial" w:ascii="Arial" w:hAnsi="Arial"/>
          <w:sz w:val="22"/>
        </w:rPr>
        <w:t>Jeżeli oferty otrzymały taką samą ocenę w kryterium o najwyższej wadze, Zamawiający wybiera ofertę z najniższą ceną.</w:t>
      </w:r>
    </w:p>
    <w:p>
      <w:pPr>
        <w:pStyle w:val="Normal"/>
        <w:spacing w:lineRule="auto" w:line="240" w:before="0" w:after="0"/>
        <w:ind w:hanging="0" w:left="426"/>
        <w:rPr>
          <w:rFonts w:ascii="Arial" w:hAnsi="Arial" w:eastAsia="Times New Roman" w:cs="Arial"/>
          <w:sz w:val="22"/>
        </w:rPr>
      </w:pPr>
      <w:r>
        <w:rPr>
          <w:rFonts w:eastAsia="Times New Roman" w:cs="Arial" w:ascii="Arial" w:hAnsi="Arial"/>
          <w:sz w:val="22"/>
        </w:rPr>
        <w:t>Jeżeli nie można dokonać wyboru oferty w sposób, o którym mowa powyżej, Zamawiający wzywa Wykonawców, którzy złożyli te oferty, do złożenia w terminie określonym przez Zamawiającego ofert dodatkowych zawierających nową cenę.</w:t>
      </w:r>
    </w:p>
    <w:p>
      <w:pPr>
        <w:pStyle w:val="Normal"/>
        <w:spacing w:lineRule="auto" w:line="240" w:before="0" w:after="0"/>
        <w:ind w:hanging="0" w:left="426"/>
        <w:rPr>
          <w:rFonts w:ascii="Arial" w:hAnsi="Arial" w:eastAsia="Times New Roman" w:cs="Arial"/>
          <w:sz w:val="22"/>
        </w:rPr>
      </w:pPr>
      <w:r>
        <w:rPr>
          <w:rFonts w:eastAsia="Times New Roman" w:cs="Arial" w:ascii="Arial" w:hAnsi="Arial"/>
          <w:b/>
          <w:sz w:val="22"/>
        </w:rPr>
        <w:t>5.</w:t>
      </w:r>
      <w:r>
        <w:rPr>
          <w:rFonts w:eastAsia="Times New Roman" w:cs="Arial" w:ascii="Arial" w:hAnsi="Arial"/>
          <w:sz w:val="22"/>
        </w:rPr>
        <w:tab/>
        <w:t>Zgodnie z art. 223 ust. 1 ustawy Pzp, w toku badania i oceny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ustawy Pzp. oraz dokonywanie jakiejkolwiek zmiany w jej treści;</w:t>
      </w:r>
    </w:p>
    <w:p>
      <w:pPr>
        <w:pStyle w:val="Normal"/>
        <w:spacing w:lineRule="auto" w:line="240" w:before="0" w:after="0"/>
        <w:ind w:hanging="0" w:left="426"/>
        <w:rPr>
          <w:rFonts w:ascii="Arial" w:hAnsi="Arial" w:eastAsia="Times New Roman" w:cs="Arial"/>
          <w:sz w:val="22"/>
        </w:rPr>
      </w:pPr>
      <w:r>
        <w:rPr>
          <w:rFonts w:eastAsia="Times New Roman" w:cs="Arial" w:ascii="Arial" w:hAnsi="Arial"/>
          <w:sz w:val="22"/>
        </w:rPr>
        <w:t>Zamawiający poprawi w ofercie omyłki wskazane w art. 223 ust. 2 ustawy Pzp, niezwłocznie zawiadamiając o tym Wykonawcę, którego oferta zostanie poprawiona.</w:t>
      </w:r>
    </w:p>
    <w:p>
      <w:pPr>
        <w:pStyle w:val="Normal"/>
        <w:spacing w:lineRule="auto" w:line="240" w:before="0" w:after="0"/>
        <w:ind w:hanging="0" w:left="426"/>
        <w:rPr>
          <w:rFonts w:ascii="Arial" w:hAnsi="Arial" w:eastAsia="Times New Roman" w:cs="Arial"/>
          <w:sz w:val="22"/>
        </w:rPr>
      </w:pPr>
      <w:r>
        <w:rPr>
          <w:rFonts w:eastAsia="Times New Roman" w:cs="Arial" w:ascii="Arial" w:hAnsi="Arial"/>
          <w:sz w:val="22"/>
        </w:rPr>
        <w:t>Zamawiający odrzuci złożoną ofertę, w przypadku wystąpienia przynajmniej jednej z okoliczności, o których mowa w art. 226 ust. 1 ustawy Pzp.</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sz w:val="22"/>
          <w:szCs w:val="22"/>
        </w:rPr>
        <w:t>I</w:t>
      </w:r>
      <w:r>
        <w:rPr>
          <w:rFonts w:cs="Arial" w:ascii="Arial" w:hAnsi="Arial"/>
          <w:b/>
          <w:sz w:val="22"/>
          <w:szCs w:val="22"/>
          <w:u w:val="single"/>
        </w:rPr>
        <w:t>nformacje o formalnościach, jakie muszą zostać dopełnione po wyborze oferty w celu zawarcia umowy w sprawie zamówienia publicznego:</w:t>
      </w:r>
    </w:p>
    <w:p>
      <w:pPr>
        <w:pStyle w:val="Default"/>
        <w:numPr>
          <w:ilvl w:val="0"/>
          <w:numId w:val="32"/>
        </w:numPr>
        <w:jc w:val="both"/>
        <w:rPr>
          <w:rFonts w:ascii="Arial" w:hAnsi="Arial" w:cs="Arial"/>
          <w:sz w:val="22"/>
          <w:szCs w:val="22"/>
        </w:rPr>
      </w:pPr>
      <w:r>
        <w:rPr>
          <w:rFonts w:cs="Arial" w:ascii="Arial" w:hAnsi="Arial"/>
          <w:sz w:val="22"/>
          <w:szCs w:val="22"/>
        </w:rPr>
        <w:t>Umowa w sprawie zamówienia publicznego może zostać zawarta wyłącznie z Wykonawcą, którego oferta zostanie wybrana jako najkorzystniejsza, po upływie terminów określonych w art. 308 ust. 2 lub 3 ustawy Pzp.</w:t>
      </w:r>
    </w:p>
    <w:p>
      <w:pPr>
        <w:pStyle w:val="Default"/>
        <w:ind w:left="846"/>
        <w:jc w:val="both"/>
        <w:rPr>
          <w:rFonts w:ascii="Arial" w:hAnsi="Arial" w:cs="Arial"/>
          <w:sz w:val="22"/>
        </w:rPr>
      </w:pPr>
      <w:r>
        <w:rPr>
          <w:rFonts w:cs="Arial" w:ascii="Arial" w:hAnsi="Arial"/>
          <w:sz w:val="22"/>
        </w:rPr>
        <w:t>Zgodnie z art. 308 ust. 2 ustawy Pzp 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ww. terminu w przypadkach określonych w art. 308 ust. 3 ustawy Pzp.</w:t>
      </w:r>
    </w:p>
    <w:p>
      <w:pPr>
        <w:pStyle w:val="Default"/>
        <w:numPr>
          <w:ilvl w:val="0"/>
          <w:numId w:val="32"/>
        </w:numPr>
        <w:jc w:val="both"/>
        <w:rPr>
          <w:rFonts w:ascii="Arial" w:hAnsi="Arial" w:cs="Arial"/>
          <w:sz w:val="22"/>
          <w:szCs w:val="22"/>
        </w:rPr>
      </w:pPr>
      <w:r>
        <w:rPr>
          <w:rFonts w:cs="Arial" w:ascii="Arial" w:hAnsi="Arial"/>
          <w:sz w:val="22"/>
          <w:szCs w:val="22"/>
        </w:rPr>
        <w:t>W przypadku wniesienia odwołania, z zastrzeżeniem wyjątków przewidzianych w ustawie, Zamawiający nie może zawrzeć umowy do czasu ogłoszenia przez Krajową Izbę Odwoławczą wyroku lub postanowienia kończącego postępowanie odwoławcze.</w:t>
      </w:r>
    </w:p>
    <w:p>
      <w:pPr>
        <w:pStyle w:val="Default"/>
        <w:numPr>
          <w:ilvl w:val="0"/>
          <w:numId w:val="32"/>
        </w:numPr>
        <w:jc w:val="both"/>
        <w:rPr>
          <w:rFonts w:ascii="Arial" w:hAnsi="Arial" w:cs="Arial"/>
          <w:sz w:val="22"/>
          <w:szCs w:val="22"/>
        </w:rPr>
      </w:pPr>
      <w:r>
        <w:rPr>
          <w:rFonts w:cs="Arial" w:ascii="Arial" w:hAnsi="Arial"/>
          <w:sz w:val="22"/>
          <w:szCs w:val="22"/>
        </w:rPr>
        <w:t>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w:t>
      </w:r>
    </w:p>
    <w:p>
      <w:pPr>
        <w:pStyle w:val="Default"/>
        <w:ind w:left="851"/>
        <w:jc w:val="both"/>
        <w:rPr>
          <w:rFonts w:ascii="Arial" w:hAnsi="Arial" w:cs="Arial"/>
          <w:sz w:val="22"/>
        </w:rPr>
      </w:pPr>
      <w:r>
        <w:rPr>
          <w:rFonts w:cs="Arial" w:ascii="Arial" w:hAnsi="Arial"/>
          <w:sz w:val="22"/>
        </w:rPr>
        <w:t>W przypadku Wykonawców składających ofertę wspólną wynagrodzenie należne Wykonawcy domyślnie, jeżeli nie zostanie to wskazane inaczej, wpłacane będzie na konto podmiotu zwanego Liderem, wskazanego wspólnie przez podmioty występujące jako Wykonawca.</w:t>
      </w:r>
    </w:p>
    <w:p>
      <w:pPr>
        <w:pStyle w:val="Default"/>
        <w:numPr>
          <w:ilvl w:val="0"/>
          <w:numId w:val="32"/>
        </w:numPr>
        <w:jc w:val="both"/>
        <w:rPr>
          <w:rFonts w:ascii="Arial" w:hAnsi="Arial" w:cs="Arial"/>
          <w:sz w:val="22"/>
          <w:szCs w:val="22"/>
        </w:rPr>
      </w:pPr>
      <w:r>
        <w:rPr>
          <w:rFonts w:cs="Arial" w:ascii="Arial" w:hAnsi="Arial"/>
          <w:sz w:val="22"/>
          <w:szCs w:val="22"/>
        </w:rPr>
        <w:t>Wykonawca zobowiązany jest do wniesienia zabezpieczenia należytego wykonania umowy na warunkach określonych w ppkt. 31 SWZ.</w:t>
      </w:r>
    </w:p>
    <w:p>
      <w:pPr>
        <w:pStyle w:val="Default"/>
        <w:numPr>
          <w:ilvl w:val="0"/>
          <w:numId w:val="32"/>
        </w:numPr>
        <w:jc w:val="both"/>
        <w:rPr>
          <w:rFonts w:ascii="Arial" w:hAnsi="Arial" w:cs="Arial"/>
          <w:sz w:val="22"/>
          <w:szCs w:val="22"/>
        </w:rPr>
      </w:pPr>
      <w:r>
        <w:rPr>
          <w:rFonts w:cs="Arial" w:ascii="Arial" w:hAnsi="Arial"/>
          <w:sz w:val="22"/>
          <w:szCs w:val="22"/>
        </w:rPr>
        <w:t>Wykonawca zobowiązany jest do 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pPr>
        <w:pStyle w:val="Default"/>
        <w:numPr>
          <w:ilvl w:val="0"/>
          <w:numId w:val="32"/>
        </w:numPr>
        <w:jc w:val="both"/>
        <w:rPr>
          <w:rFonts w:ascii="Arial" w:hAnsi="Arial" w:cs="Arial"/>
          <w:sz w:val="22"/>
          <w:szCs w:val="22"/>
        </w:rPr>
      </w:pPr>
      <w:r>
        <w:rPr>
          <w:rFonts w:cs="Arial" w:ascii="Arial" w:hAnsi="Arial"/>
          <w:sz w:val="22"/>
          <w:szCs w:val="22"/>
        </w:rPr>
        <w:t>Wykonawca zobowiązany jest do złożenia innych oświadczeń lub dokumentów, które wynikają z projektowanych postanowień umowy w sprawie zamówienia publicznego, które zostaną wprowadzone do treści tej umowy.</w:t>
      </w:r>
    </w:p>
    <w:p>
      <w:pPr>
        <w:pStyle w:val="Default"/>
        <w:numPr>
          <w:ilvl w:val="0"/>
          <w:numId w:val="32"/>
        </w:numPr>
        <w:jc w:val="both"/>
        <w:rPr>
          <w:rFonts w:ascii="Arial" w:hAnsi="Arial" w:cs="Arial"/>
          <w:sz w:val="22"/>
          <w:szCs w:val="22"/>
        </w:rPr>
      </w:pPr>
      <w:r>
        <w:rPr>
          <w:rFonts w:cs="Arial" w:ascii="Arial" w:hAnsi="Arial"/>
          <w:sz w:val="22"/>
        </w:rPr>
        <w:t>Podpisanie umowy nastąpi w formie pisemnej zgodnie z art. 432 ustawy.</w:t>
      </w:r>
    </w:p>
    <w:p>
      <w:pPr>
        <w:pStyle w:val="Default"/>
        <w:numPr>
          <w:ilvl w:val="0"/>
          <w:numId w:val="32"/>
        </w:numPr>
        <w:jc w:val="both"/>
        <w:rPr>
          <w:rFonts w:ascii="Arial" w:hAnsi="Arial" w:cs="Arial"/>
          <w:sz w:val="22"/>
        </w:rPr>
      </w:pPr>
      <w:r>
        <w:rPr>
          <w:rFonts w:cs="Arial" w:ascii="Arial" w:hAnsi="Arial"/>
          <w:sz w:val="22"/>
        </w:rPr>
        <w:t>Zgodnie z art. 263 ustawy Pzp,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Informacje dotyczące zabezpieczenia należytego wykonania umowy, jeżeli zamawiający je przewiduje:</w:t>
      </w:r>
    </w:p>
    <w:p>
      <w:pPr>
        <w:pStyle w:val="Default"/>
        <w:numPr>
          <w:ilvl w:val="0"/>
          <w:numId w:val="28"/>
        </w:numPr>
        <w:jc w:val="both"/>
        <w:rPr>
          <w:rFonts w:ascii="Arial" w:hAnsi="Arial" w:cs="Arial"/>
          <w:sz w:val="22"/>
          <w:szCs w:val="22"/>
        </w:rPr>
      </w:pPr>
      <w:r>
        <w:rPr>
          <w:rFonts w:cs="Arial" w:ascii="Arial" w:hAnsi="Arial"/>
          <w:sz w:val="22"/>
          <w:szCs w:val="22"/>
        </w:rPr>
        <w:t>Wykonawca zobowiązany jest przed zawarciem umowy do wniesienia zabezpieczenia należytego wykonania umowy na kwotę stanowiącą 5% ceny brutto podanej w ofercie w formach określonych w art. 450 ust. 1 ustawy Pzp:</w:t>
      </w:r>
    </w:p>
    <w:p>
      <w:pPr>
        <w:pStyle w:val="Default"/>
        <w:numPr>
          <w:ilvl w:val="1"/>
          <w:numId w:val="29"/>
        </w:numPr>
        <w:ind w:hanging="360" w:left="1134"/>
        <w:jc w:val="both"/>
        <w:rPr>
          <w:rFonts w:ascii="Arial" w:hAnsi="Arial" w:cs="Arial"/>
          <w:sz w:val="22"/>
          <w:szCs w:val="22"/>
        </w:rPr>
      </w:pPr>
      <w:r>
        <w:rPr>
          <w:rFonts w:cs="Arial" w:ascii="Arial" w:hAnsi="Arial"/>
          <w:sz w:val="22"/>
          <w:szCs w:val="22"/>
        </w:rPr>
        <w:t xml:space="preserve">pieniądzu – przelewem na rachunek bankowy nr: </w:t>
      </w:r>
      <w:r>
        <w:rPr>
          <w:rFonts w:ascii="Helvetica Neue" w:hAnsi="Helvetica Neue"/>
          <w:b/>
          <w:bCs/>
          <w:color w:val="222222"/>
          <w:sz w:val="20"/>
          <w:szCs w:val="20"/>
          <w:shd w:fill="FFFFFF" w:val="clear"/>
        </w:rPr>
        <w:t xml:space="preserve">25 1130 1091 0003 9146 4520 0004 </w:t>
      </w:r>
      <w:r>
        <w:rPr>
          <w:rFonts w:cs="Arial" w:ascii="Arial" w:hAnsi="Arial"/>
          <w:sz w:val="22"/>
          <w:szCs w:val="22"/>
        </w:rPr>
        <w:t>poręczeniach bankowych lub poręczeniach spółdzielczej kasy oszczędnościowo--kredytowej, z tym że zobowiązanie kasy jest zawsze zobowiązaniem pieniężnym;</w:t>
      </w:r>
    </w:p>
    <w:p>
      <w:pPr>
        <w:pStyle w:val="Default"/>
        <w:numPr>
          <w:ilvl w:val="1"/>
          <w:numId w:val="29"/>
        </w:numPr>
        <w:ind w:hanging="360" w:left="1134"/>
        <w:jc w:val="both"/>
        <w:rPr>
          <w:rFonts w:ascii="Arial" w:hAnsi="Arial" w:cs="Arial"/>
          <w:sz w:val="22"/>
          <w:szCs w:val="22"/>
        </w:rPr>
      </w:pPr>
      <w:r>
        <w:rPr>
          <w:rFonts w:cs="Arial" w:ascii="Arial" w:hAnsi="Arial"/>
          <w:sz w:val="22"/>
          <w:szCs w:val="22"/>
        </w:rPr>
        <w:t>gwarancjach bankowych;</w:t>
      </w:r>
    </w:p>
    <w:p>
      <w:pPr>
        <w:pStyle w:val="Default"/>
        <w:numPr>
          <w:ilvl w:val="1"/>
          <w:numId w:val="29"/>
        </w:numPr>
        <w:ind w:hanging="360" w:left="1134"/>
        <w:jc w:val="both"/>
        <w:rPr>
          <w:rFonts w:ascii="Arial" w:hAnsi="Arial" w:cs="Arial"/>
          <w:sz w:val="22"/>
          <w:szCs w:val="22"/>
        </w:rPr>
      </w:pPr>
      <w:r>
        <w:rPr>
          <w:rFonts w:cs="Arial" w:ascii="Arial" w:hAnsi="Arial"/>
          <w:sz w:val="22"/>
          <w:szCs w:val="22"/>
        </w:rPr>
        <w:t>gwarancjach ubezpieczeniowych;</w:t>
      </w:r>
    </w:p>
    <w:p>
      <w:pPr>
        <w:pStyle w:val="Default"/>
        <w:numPr>
          <w:ilvl w:val="1"/>
          <w:numId w:val="29"/>
        </w:numPr>
        <w:ind w:hanging="360" w:left="1134"/>
        <w:jc w:val="both"/>
        <w:rPr>
          <w:rFonts w:ascii="Arial" w:hAnsi="Arial" w:cs="Arial"/>
          <w:sz w:val="22"/>
          <w:szCs w:val="22"/>
        </w:rPr>
      </w:pPr>
      <w:r>
        <w:rPr>
          <w:rFonts w:cs="Arial" w:ascii="Arial" w:hAnsi="Arial"/>
          <w:sz w:val="22"/>
          <w:szCs w:val="22"/>
        </w:rPr>
        <w:t>poręczeniach udzielanych przez podmioty, o których mowa w art. 6b ust. 5 pkt 2 ustawy z dnia 9 listopada 2000 r. o utworzeniu Polskiej Agencji Rozwoju Przedsiębiorczości.</w:t>
      </w:r>
    </w:p>
    <w:p>
      <w:pPr>
        <w:pStyle w:val="Default"/>
        <w:numPr>
          <w:ilvl w:val="0"/>
          <w:numId w:val="28"/>
        </w:numPr>
        <w:ind w:hanging="357" w:left="782"/>
        <w:jc w:val="both"/>
        <w:rPr>
          <w:rFonts w:ascii="Arial" w:hAnsi="Arial" w:cs="Arial"/>
          <w:sz w:val="22"/>
          <w:szCs w:val="22"/>
        </w:rPr>
      </w:pPr>
      <w:r>
        <w:rPr>
          <w:rFonts w:cs="Arial" w:ascii="Arial" w:hAnsi="Arial"/>
          <w:sz w:val="22"/>
          <w:szCs w:val="22"/>
        </w:rPr>
        <w:t>Zabezpieczenie służy pokryciu roszczeń z tytułu niewykonania lub nienależytego wykonania umowy.</w:t>
      </w:r>
    </w:p>
    <w:p>
      <w:pPr>
        <w:pStyle w:val="ListParagraph"/>
        <w:numPr>
          <w:ilvl w:val="0"/>
          <w:numId w:val="28"/>
        </w:numPr>
        <w:spacing w:lineRule="auto" w:line="240" w:before="0" w:after="0"/>
        <w:ind w:hanging="357" w:left="782"/>
        <w:contextualSpacing/>
        <w:rPr>
          <w:rFonts w:ascii="Arial" w:hAnsi="Arial" w:eastAsia="" w:cs="Arial" w:eastAsiaTheme="minorEastAsia"/>
          <w:sz w:val="22"/>
        </w:rPr>
      </w:pPr>
      <w:r>
        <w:rPr>
          <w:rFonts w:eastAsia="" w:cs="Arial" w:ascii="Arial" w:hAnsi="Arial" w:eastAsiaTheme="minorEastAsia"/>
          <w:sz w:val="22"/>
        </w:rPr>
        <w:t>Zamawiający nie wyraża zgody na wniesienie zabezpieczenia w formach, o których mowa w art. 450 ust. 2 ustawy Pzp.</w:t>
      </w:r>
    </w:p>
    <w:p>
      <w:pPr>
        <w:pStyle w:val="Default"/>
        <w:numPr>
          <w:ilvl w:val="0"/>
          <w:numId w:val="28"/>
        </w:numPr>
        <w:ind w:hanging="357" w:left="782"/>
        <w:jc w:val="both"/>
        <w:rPr>
          <w:rFonts w:ascii="Arial" w:hAnsi="Arial" w:cs="Arial"/>
          <w:sz w:val="22"/>
          <w:szCs w:val="22"/>
        </w:rPr>
      </w:pPr>
      <w:r>
        <w:rPr>
          <w:rFonts w:cs="Arial" w:ascii="Arial" w:hAnsi="Arial"/>
          <w:sz w:val="22"/>
          <w:szCs w:val="22"/>
        </w:rPr>
        <w:t>Dokument gwarancji (bankowej lub ubezpieczeniowej) musi zawierać nieodwołalną i bezwarunkową gwarancję płatną na pierwsze pisemne żądanie Zamawiającego.</w:t>
      </w:r>
    </w:p>
    <w:p>
      <w:pPr>
        <w:pStyle w:val="Default"/>
        <w:numPr>
          <w:ilvl w:val="0"/>
          <w:numId w:val="28"/>
        </w:numPr>
        <w:jc w:val="both"/>
        <w:rPr>
          <w:rFonts w:ascii="Arial" w:hAnsi="Arial" w:cs="Arial"/>
          <w:sz w:val="22"/>
          <w:szCs w:val="22"/>
        </w:rPr>
      </w:pPr>
      <w:r>
        <w:rPr>
          <w:rFonts w:cs="Arial" w:ascii="Arial" w:hAnsi="Arial"/>
          <w:sz w:val="22"/>
          <w:szCs w:val="22"/>
        </w:rPr>
        <w:t>W przypadku wniesienia zabezpieczenia należytego wykonania umowy w formie innej niż w pieniądzu, przed podpisaniem umowy Wykonawca jest zobowiązany przedstawić do akceptacji Zamawiającemu treść dokumentu gwarancji (bankowej lub ubezpieczeniowej) lub poręczenia. Zaleca się, aby gwarancja zawierała poniższe postanowienia:</w:t>
      </w:r>
    </w:p>
    <w:p>
      <w:pPr>
        <w:pStyle w:val="Default"/>
        <w:numPr>
          <w:ilvl w:val="0"/>
          <w:numId w:val="30"/>
        </w:numPr>
        <w:jc w:val="both"/>
        <w:rPr>
          <w:rFonts w:ascii="Arial" w:hAnsi="Arial" w:cs="Arial"/>
          <w:sz w:val="22"/>
          <w:szCs w:val="22"/>
        </w:rPr>
      </w:pPr>
      <w:r>
        <w:rPr>
          <w:rFonts w:cs="Arial" w:ascii="Arial" w:hAnsi="Arial"/>
          <w:sz w:val="22"/>
          <w:szCs w:val="22"/>
        </w:rPr>
        <w:t>Gwarant nieodwołalnie i bezwarunkowo zobowiązuje się do zapłacenia Beneficjentowi, każdej kwoty lub kwot do ich łącznej maksymalnej wysokości wskazanej w gwarancji w terminie 14 dni po otrzymaniu od Beneficjenta pierwszego, pisemnego żądania zapłaty.</w:t>
      </w:r>
    </w:p>
    <w:p>
      <w:pPr>
        <w:pStyle w:val="Default"/>
        <w:numPr>
          <w:ilvl w:val="0"/>
          <w:numId w:val="30"/>
        </w:numPr>
        <w:jc w:val="both"/>
        <w:rPr>
          <w:rFonts w:ascii="Arial" w:hAnsi="Arial" w:cs="Arial"/>
          <w:sz w:val="22"/>
          <w:szCs w:val="22"/>
        </w:rPr>
      </w:pPr>
      <w:r>
        <w:rPr>
          <w:rFonts w:cs="Arial" w:ascii="Arial" w:hAnsi="Arial"/>
          <w:sz w:val="22"/>
          <w:szCs w:val="22"/>
        </w:rPr>
        <w:t>Gwarant nie może w jakimkolwiek celu badać żadnych dokumentów związanych z Umową, stanu faktycznego lub prawnego związanego z Umową lub dotyczącego stosunku zobowiązaniowego wynikającego z Umowy, w tym związanego z niewykonaniem lub nienależytym wykonaniem Umowy. Powyższe nie pozbawia Gwaranta uprawnienia do badania pod względem formalnym wymogów wynikających z Gwarancji, w tym do badania dokumentu Gwarancji, żądania zapłaty z Gwarancji i załączników do tego żądania.</w:t>
      </w:r>
    </w:p>
    <w:p>
      <w:pPr>
        <w:pStyle w:val="Default"/>
        <w:numPr>
          <w:ilvl w:val="0"/>
          <w:numId w:val="30"/>
        </w:numPr>
        <w:jc w:val="both"/>
        <w:rPr>
          <w:rFonts w:ascii="Arial" w:hAnsi="Arial" w:cs="Arial"/>
          <w:sz w:val="22"/>
          <w:szCs w:val="22"/>
        </w:rPr>
      </w:pPr>
      <w:r>
        <w:rPr>
          <w:rFonts w:cs="Arial" w:ascii="Arial" w:hAnsi="Arial"/>
          <w:sz w:val="22"/>
          <w:szCs w:val="22"/>
        </w:rPr>
        <w:t>Beneficjent ma prawo przekazać żądanie zapłaty Gwarantowi w następujący sposób:</w:t>
      </w:r>
    </w:p>
    <w:p>
      <w:pPr>
        <w:pStyle w:val="Default"/>
        <w:numPr>
          <w:ilvl w:val="0"/>
          <w:numId w:val="31"/>
        </w:numPr>
        <w:tabs>
          <w:tab w:val="clear" w:pos="708"/>
          <w:tab w:val="left" w:pos="1418" w:leader="none"/>
        </w:tabs>
        <w:ind w:hanging="284" w:left="1418"/>
        <w:jc w:val="both"/>
        <w:rPr>
          <w:rFonts w:ascii="Arial" w:hAnsi="Arial" w:cs="Arial"/>
          <w:sz w:val="22"/>
          <w:szCs w:val="22"/>
        </w:rPr>
      </w:pPr>
      <w:r>
        <w:rPr>
          <w:rFonts w:cs="Arial" w:ascii="Arial" w:hAnsi="Arial"/>
          <w:sz w:val="22"/>
          <w:szCs w:val="22"/>
        </w:rPr>
        <w:t>za pośrednictwem banku prowadzącego rachunek Beneficjenta, na adres Gwaranta wskazany w niniejszej Gwarancji, który to bank potwierdzi, iż żądanie zapłaty zostało podpisane przez osoby uprawnione do składania oświadczeń woli w imieniu Beneficjenta lub przez niego upoważnione. Bank prowadzący rachunek Beneficjenta przekaże Gwarantowi w imieniu i na rzecz Beneficjenta żądanie zapłaty: bezpośrednio, listem poleconym, kurierem lub poprzez przesłanie kluczowanego komunikatu SWIFT* (w przypadku gwarancji bankowej*) wysłanego przez bank Beneficjenta na adres swiftowy: Kod BIC/SWIFT GOSKPLPW; W przypadku przesłania żądania w formie kluczowanego komunikatu przekazanego za pośrednictwem systemu SWIFT bank Beneficjenta powinien dodatkowo potwierdzić w komunikacie, że przesłany komunikat dokładnie oddaje treść żądania wypłaty, a oryginalne żądanie wypłaty zostało przesłane na adres Banku.</w:t>
      </w:r>
    </w:p>
    <w:p>
      <w:pPr>
        <w:pStyle w:val="Default"/>
        <w:tabs>
          <w:tab w:val="clear" w:pos="708"/>
          <w:tab w:val="left" w:pos="1418" w:leader="none"/>
        </w:tabs>
        <w:ind w:left="1134"/>
        <w:jc w:val="both"/>
        <w:rPr>
          <w:rFonts w:ascii="Arial" w:hAnsi="Arial" w:cs="Arial"/>
          <w:sz w:val="22"/>
          <w:szCs w:val="22"/>
        </w:rPr>
      </w:pPr>
      <w:r>
        <w:rPr>
          <w:rFonts w:cs="Arial" w:ascii="Arial" w:hAnsi="Arial"/>
          <w:sz w:val="22"/>
          <w:szCs w:val="22"/>
        </w:rPr>
        <w:t>albo</w:t>
      </w:r>
    </w:p>
    <w:p>
      <w:pPr>
        <w:pStyle w:val="Default"/>
        <w:numPr>
          <w:ilvl w:val="0"/>
          <w:numId w:val="31"/>
        </w:numPr>
        <w:tabs>
          <w:tab w:val="clear" w:pos="708"/>
          <w:tab w:val="left" w:pos="1418" w:leader="none"/>
        </w:tabs>
        <w:ind w:hanging="284" w:left="1418"/>
        <w:jc w:val="both"/>
        <w:rPr>
          <w:rFonts w:ascii="Arial" w:hAnsi="Arial" w:cs="Arial"/>
          <w:sz w:val="22"/>
          <w:szCs w:val="22"/>
        </w:rPr>
      </w:pPr>
      <w:r>
        <w:rPr>
          <w:rFonts w:cs="Arial" w:ascii="Arial" w:hAnsi="Arial"/>
          <w:sz w:val="22"/>
          <w:szCs w:val="22"/>
        </w:rPr>
        <w:t>bezpośrednio, listem poleconym lub kurierem na adres Gwaranta wskazany w niniejszej Gwarancji, przy czym podpisy osób uprawnionych do składania oświadczeń woli w imieniu Beneficjenta lub przez niego upoważnionych, zostaną potwierdzone przez notariusza. Do żądania zapłaty złożonego w tej formie Beneficjent dołączy odpisy notarialne dokumentów potwierdzających prawidłowość reprezentacji osób uprawnionych lub przez niego upoważnionych do składania w jego imieniu oświadczeń woli.</w:t>
      </w:r>
    </w:p>
    <w:p>
      <w:pPr>
        <w:pStyle w:val="Default"/>
        <w:numPr>
          <w:ilvl w:val="0"/>
          <w:numId w:val="30"/>
        </w:numPr>
        <w:jc w:val="both"/>
        <w:rPr>
          <w:rFonts w:ascii="Arial" w:hAnsi="Arial" w:cs="Arial"/>
          <w:sz w:val="22"/>
          <w:szCs w:val="22"/>
        </w:rPr>
      </w:pPr>
      <w:r>
        <w:rPr>
          <w:rFonts w:cs="Arial" w:ascii="Arial" w:hAnsi="Arial"/>
          <w:sz w:val="22"/>
          <w:szCs w:val="22"/>
        </w:rPr>
        <w:t>Jeżeli koniec terminu do złożenia żądania zapłaty z Gwarancji przypada na sobotę, dzień ustawowo wolny od pracy lub inny dzień, w którym Gwarant nie prowadzi działalności operacyjnej, wówczas termin ten ulega wydłużeniu do najbliższego dnia, w którym Gwarant prowadzi działalność operacyjną.</w:t>
      </w:r>
    </w:p>
    <w:p>
      <w:pPr>
        <w:pStyle w:val="Default"/>
        <w:numPr>
          <w:ilvl w:val="0"/>
          <w:numId w:val="30"/>
        </w:numPr>
        <w:jc w:val="both"/>
        <w:rPr>
          <w:rFonts w:ascii="Arial" w:hAnsi="Arial" w:cs="Arial"/>
          <w:sz w:val="22"/>
          <w:szCs w:val="22"/>
        </w:rPr>
      </w:pPr>
      <w:r>
        <w:rPr>
          <w:rFonts w:cs="Arial" w:ascii="Arial" w:hAnsi="Arial"/>
          <w:sz w:val="22"/>
          <w:szCs w:val="22"/>
        </w:rPr>
        <w:t>Żadna zmiana lub uzupełnienie warunków Umowy lub zakresu zamówienia, które mogą zostać przeprowadzone na podstawie Umowy lub w jakichkolwiek dokumentach umownych jakie mogą zostać sporządzone między Beneficjentem a Wykonawcą, nie zwalniają Gwaranta od odpowiedzialności wynikającej z niniejszej Gwarancji i niniejszym Gwarant rezygnuje z konieczności powiadamiania o takiej zmianie lub uzupełnieniu.</w:t>
      </w:r>
    </w:p>
    <w:p>
      <w:pPr>
        <w:pStyle w:val="Default"/>
        <w:numPr>
          <w:ilvl w:val="0"/>
          <w:numId w:val="30"/>
        </w:numPr>
        <w:jc w:val="both"/>
        <w:rPr>
          <w:rFonts w:ascii="Arial" w:hAnsi="Arial" w:cs="Arial"/>
          <w:sz w:val="22"/>
          <w:szCs w:val="22"/>
        </w:rPr>
      </w:pPr>
      <w:r>
        <w:rPr>
          <w:rFonts w:cs="Arial" w:ascii="Arial" w:hAnsi="Arial"/>
          <w:sz w:val="22"/>
          <w:szCs w:val="22"/>
        </w:rPr>
        <w:t>Wierzytelność z tytułu Gwarancji nie może być przedmiotem cesji (przelewu) na rzecz osoby trzeciej, bez zgody Gwaranta.</w:t>
      </w:r>
    </w:p>
    <w:p>
      <w:pPr>
        <w:pStyle w:val="Default"/>
        <w:numPr>
          <w:ilvl w:val="0"/>
          <w:numId w:val="30"/>
        </w:numPr>
        <w:jc w:val="both"/>
        <w:rPr>
          <w:rFonts w:ascii="Arial" w:hAnsi="Arial" w:cs="Arial"/>
          <w:sz w:val="22"/>
          <w:szCs w:val="22"/>
        </w:rPr>
      </w:pPr>
      <w:r>
        <w:rPr>
          <w:rFonts w:cs="Arial" w:ascii="Arial" w:hAnsi="Arial"/>
          <w:sz w:val="22"/>
          <w:szCs w:val="22"/>
        </w:rPr>
        <w:t>Gwarancja zostanie sporządzona zgodnie z polskim prawem i temu prawu podlega.</w:t>
      </w:r>
    </w:p>
    <w:p>
      <w:pPr>
        <w:pStyle w:val="Default"/>
        <w:numPr>
          <w:ilvl w:val="0"/>
          <w:numId w:val="30"/>
        </w:numPr>
        <w:jc w:val="both"/>
        <w:rPr>
          <w:rFonts w:ascii="Arial" w:hAnsi="Arial" w:cs="Arial"/>
          <w:sz w:val="22"/>
          <w:szCs w:val="22"/>
        </w:rPr>
      </w:pPr>
      <w:r>
        <w:rPr>
          <w:rFonts w:cs="Arial" w:ascii="Arial" w:hAnsi="Arial"/>
          <w:sz w:val="22"/>
          <w:szCs w:val="22"/>
        </w:rPr>
        <w:t>Wszelkie spory mogące wyniknąć w związku z Gwarancją, będą rozstrzygane przez sąd powszechny, właściwy miejscowo dla siedziby Beneficjenta.</w:t>
      </w:r>
    </w:p>
    <w:p>
      <w:pPr>
        <w:pStyle w:val="Default"/>
        <w:numPr>
          <w:ilvl w:val="0"/>
          <w:numId w:val="28"/>
        </w:numPr>
        <w:jc w:val="both"/>
        <w:rPr>
          <w:rFonts w:ascii="Arial" w:hAnsi="Arial" w:cs="Arial"/>
          <w:color w:val="auto"/>
          <w:sz w:val="22"/>
          <w:szCs w:val="22"/>
        </w:rPr>
      </w:pPr>
      <w:r>
        <w:rPr>
          <w:rFonts w:cs="Arial" w:ascii="Arial" w:hAnsi="Arial"/>
          <w:sz w:val="22"/>
          <w:szCs w:val="22"/>
        </w:rPr>
        <w:t xml:space="preserve">Dokument </w:t>
      </w:r>
      <w:r>
        <w:rPr>
          <w:rFonts w:cs="Arial" w:ascii="Arial" w:hAnsi="Arial"/>
          <w:color w:val="auto"/>
          <w:sz w:val="22"/>
          <w:szCs w:val="22"/>
        </w:rPr>
        <w:t xml:space="preserve">Zamawiający zwróci zabezpieczenie należytego wykonania umowy w terminie i na warunkach określonych w </w:t>
      </w:r>
      <w:r>
        <w:rPr>
          <w:rFonts w:cs="Arial" w:ascii="Arial" w:hAnsi="Arial"/>
          <w:b/>
          <w:color w:val="auto"/>
          <w:sz w:val="22"/>
          <w:szCs w:val="22"/>
        </w:rPr>
        <w:t>Projektowanych postanowieniach umowy (załącznik nr 3 do SWZ).</w:t>
      </w:r>
    </w:p>
    <w:p>
      <w:pPr>
        <w:pStyle w:val="Default"/>
        <w:numPr>
          <w:ilvl w:val="0"/>
          <w:numId w:val="28"/>
        </w:numPr>
        <w:jc w:val="both"/>
        <w:rPr>
          <w:rFonts w:ascii="Arial" w:hAnsi="Arial" w:cs="Arial"/>
          <w:sz w:val="22"/>
          <w:szCs w:val="22"/>
        </w:rPr>
      </w:pPr>
      <w:r>
        <w:rPr>
          <w:rFonts w:cs="Arial" w:ascii="Arial" w:hAnsi="Arial"/>
          <w:color w:val="auto"/>
          <w:sz w:val="22"/>
          <w:szCs w:val="22"/>
        </w:rPr>
        <w:t xml:space="preserve">Jeżeli okres na jaki ma zostać wniesione zabezpieczenie przekracza 5 lat, zabezpieczenie w pieniądzu wnosi się na cały ten okres, a zabezpieczenie w innej formie wnosi się na okres nie krótszy niż 5 lat, </w:t>
      </w:r>
      <w:r>
        <w:rPr>
          <w:rFonts w:cs="Arial" w:ascii="Arial" w:hAnsi="Arial"/>
          <w:sz w:val="22"/>
          <w:szCs w:val="22"/>
        </w:rPr>
        <w:t>z jednoczesnym zobowiązaniem się Wykonawcy do przedłużenia zabezpieczenia lub wniesienia nowego zabezpieczenia na kolejne okresy.</w:t>
      </w:r>
    </w:p>
    <w:p>
      <w:pPr>
        <w:pStyle w:val="Default"/>
        <w:numPr>
          <w:ilvl w:val="0"/>
          <w:numId w:val="28"/>
        </w:numPr>
        <w:jc w:val="both"/>
        <w:rPr>
          <w:rFonts w:ascii="Arial" w:hAnsi="Arial" w:cs="Arial"/>
          <w:sz w:val="22"/>
          <w:szCs w:val="22"/>
        </w:rPr>
      </w:pPr>
      <w:r>
        <w:rPr>
          <w:rFonts w:cs="Arial" w:ascii="Arial" w:hAnsi="Arial"/>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pPr>
        <w:pStyle w:val="Default"/>
        <w:numPr>
          <w:ilvl w:val="0"/>
          <w:numId w:val="28"/>
        </w:numPr>
        <w:jc w:val="both"/>
        <w:rPr>
          <w:rFonts w:ascii="Arial" w:hAnsi="Arial" w:cs="Arial"/>
          <w:sz w:val="22"/>
          <w:szCs w:val="22"/>
        </w:rPr>
      </w:pPr>
      <w:r>
        <w:rPr>
          <w:rFonts w:cs="Arial" w:ascii="Arial" w:hAnsi="Arial"/>
          <w:sz w:val="22"/>
          <w:szCs w:val="22"/>
        </w:rPr>
        <w:t>Wypłata, o której mowa w ppkt. 8 następuje nie później niż w ostatnim dniu ważności dotychczasowego zabezpieczenia.</w:t>
      </w:r>
    </w:p>
    <w:p>
      <w:pPr>
        <w:pStyle w:val="Default"/>
        <w:numPr>
          <w:ilvl w:val="0"/>
          <w:numId w:val="28"/>
        </w:numPr>
        <w:jc w:val="both"/>
        <w:rPr>
          <w:rFonts w:ascii="Arial" w:hAnsi="Arial" w:cs="Arial"/>
          <w:sz w:val="22"/>
          <w:szCs w:val="22"/>
        </w:rPr>
      </w:pPr>
      <w:r>
        <w:rPr>
          <w:rFonts w:cs="Arial" w:ascii="Arial" w:hAnsi="Arial"/>
          <w:sz w:val="22"/>
          <w:szCs w:val="22"/>
        </w:rPr>
        <w:t>Zamawiający zwraca zabezpieczenie w terminie 30 dni od dnia wykonania zamówienia i uznania przez zamawiającego za należycie wykonane.</w:t>
      </w:r>
    </w:p>
    <w:p>
      <w:pPr>
        <w:pStyle w:val="Default"/>
        <w:numPr>
          <w:ilvl w:val="0"/>
          <w:numId w:val="28"/>
        </w:numPr>
        <w:jc w:val="both"/>
        <w:rPr>
          <w:rFonts w:ascii="Arial" w:hAnsi="Arial" w:cs="Arial"/>
          <w:sz w:val="22"/>
          <w:szCs w:val="22"/>
        </w:rPr>
      </w:pPr>
      <w:r>
        <w:rPr>
          <w:rFonts w:cs="Arial" w:ascii="Arial" w:hAnsi="Arial"/>
          <w:sz w:val="22"/>
          <w:szCs w:val="22"/>
        </w:rPr>
        <w:t>Zamawiający może pozostawić na zabezpieczenie roszczeń z tytułu rękojmi za wady lub gwarancji kwotę nieprzekraczającą 30% zabezpieczenia.</w:t>
      </w:r>
    </w:p>
    <w:p>
      <w:pPr>
        <w:pStyle w:val="Default"/>
        <w:numPr>
          <w:ilvl w:val="0"/>
          <w:numId w:val="28"/>
        </w:numPr>
        <w:jc w:val="both"/>
        <w:rPr>
          <w:rFonts w:ascii="Arial" w:hAnsi="Arial" w:cs="Arial"/>
          <w:sz w:val="22"/>
          <w:szCs w:val="22"/>
        </w:rPr>
      </w:pPr>
      <w:r>
        <w:rPr>
          <w:rFonts w:cs="Arial" w:ascii="Arial" w:hAnsi="Arial"/>
          <w:sz w:val="22"/>
          <w:szCs w:val="22"/>
        </w:rPr>
        <w:t>Kwota, o której mowa w ppkt. 11, jest zwracana nie później niż w 15. dniu po upływie okresu rękojmi za wady lub gwarancji.</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Informacje dotyczące walut obcych, w jakich mogą być prowadzone rozliczenia między zamawiającym a wykonawcą, jeżeli zamawiający przewiduje rozliczenia w walutach obcych:</w:t>
      </w:r>
    </w:p>
    <w:p>
      <w:pPr>
        <w:pStyle w:val="Default"/>
        <w:ind w:left="426"/>
        <w:jc w:val="both"/>
        <w:rPr>
          <w:rFonts w:ascii="Arial" w:hAnsi="Arial" w:cs="Arial"/>
          <w:sz w:val="22"/>
          <w:szCs w:val="22"/>
        </w:rPr>
      </w:pPr>
      <w:r>
        <w:rPr>
          <w:rFonts w:cs="Arial" w:ascii="Arial" w:hAnsi="Arial"/>
          <w:sz w:val="22"/>
          <w:szCs w:val="22"/>
        </w:rPr>
        <w:t>Zamawiający nie przewiduje rozliczenia w walutach obcych.</w:t>
      </w:r>
    </w:p>
    <w:p>
      <w:pPr>
        <w:pStyle w:val="Default"/>
        <w:ind w:left="426"/>
        <w:jc w:val="both"/>
        <w:rPr>
          <w:rFonts w:ascii="Arial" w:hAnsi="Arial" w:cs="Arial"/>
          <w:sz w:val="22"/>
          <w:szCs w:val="22"/>
        </w:rPr>
      </w:pPr>
      <w:r>
        <w:rPr>
          <w:rFonts w:cs="Arial" w:ascii="Arial" w:hAnsi="Arial"/>
          <w:sz w:val="22"/>
          <w:szCs w:val="22"/>
        </w:rPr>
        <w:t>Rozliczenia będą się odbywały w walucie polskiej, tj. w złotych polskich.</w:t>
      </w:r>
    </w:p>
    <w:p>
      <w:pPr>
        <w:pStyle w:val="Default"/>
        <w:ind w:hanging="426" w:left="852"/>
        <w:jc w:val="both"/>
        <w:rPr>
          <w:rFonts w:ascii="Arial" w:hAnsi="Arial" w:cs="Arial"/>
          <w:sz w:val="22"/>
          <w:szCs w:val="22"/>
        </w:rPr>
      </w:pPr>
      <w:r>
        <w:rPr>
          <w:rFonts w:cs="Arial" w:ascii="Arial" w:hAnsi="Arial"/>
          <w:sz w:val="22"/>
          <w:szCs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Informacje dotyczące zwrotu kosztów udziału w postępowaniu, jeżeli zamawiający przewiduje ich zwrot:</w:t>
      </w:r>
    </w:p>
    <w:p>
      <w:pPr>
        <w:pStyle w:val="ListParagraph"/>
        <w:spacing w:lineRule="auto" w:line="240" w:before="0" w:after="0"/>
        <w:ind w:hanging="426" w:left="852"/>
        <w:contextualSpacing/>
        <w:rPr>
          <w:rFonts w:ascii="Arial" w:hAnsi="Arial" w:cs="Arial"/>
          <w:sz w:val="22"/>
        </w:rPr>
      </w:pPr>
      <w:r>
        <w:rPr>
          <w:rFonts w:cs="Arial" w:ascii="Arial" w:hAnsi="Arial"/>
          <w:sz w:val="22"/>
        </w:rPr>
        <w:t>Zamawiający nie przewiduje zwrotu kosztów udziału w postępowaniu.</w:t>
      </w:r>
    </w:p>
    <w:p>
      <w:pPr>
        <w:pStyle w:val="ListParagraph"/>
        <w:spacing w:lineRule="auto" w:line="240" w:before="0" w:after="0"/>
        <w:ind w:hanging="426" w:left="852"/>
        <w:contextualSpacing/>
        <w:rPr>
          <w:rFonts w:ascii="Arial" w:hAnsi="Arial" w:cs="Arial"/>
          <w:sz w:val="22"/>
        </w:rPr>
      </w:pPr>
      <w:r>
        <w:rPr>
          <w:rFonts w:cs="Arial" w:ascii="Arial" w:hAnsi="Arial"/>
          <w:sz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Maksymalna liczba wykonawców, z którymi zamawiający zawrze umowę ramową, jeżeli zamawiający przewiduje zawarcie umowy ramowej:</w:t>
      </w:r>
    </w:p>
    <w:p>
      <w:pPr>
        <w:pStyle w:val="ListParagraph"/>
        <w:spacing w:lineRule="auto" w:line="240" w:before="0" w:after="0"/>
        <w:ind w:hanging="426" w:left="852"/>
        <w:contextualSpacing/>
        <w:rPr>
          <w:rFonts w:ascii="Arial" w:hAnsi="Arial" w:cs="Arial"/>
          <w:sz w:val="22"/>
        </w:rPr>
      </w:pPr>
      <w:r>
        <w:rPr>
          <w:rFonts w:cs="Arial" w:ascii="Arial" w:hAnsi="Arial"/>
          <w:sz w:val="22"/>
        </w:rPr>
        <w:t>Zamawiający nie przewiduje zawarcia umowy ramowej.</w:t>
      </w:r>
    </w:p>
    <w:p>
      <w:pPr>
        <w:pStyle w:val="ListParagraph"/>
        <w:spacing w:lineRule="auto" w:line="240" w:before="0" w:after="0"/>
        <w:ind w:hanging="426" w:left="852"/>
        <w:contextualSpacing/>
        <w:rPr>
          <w:rFonts w:ascii="Arial" w:hAnsi="Arial" w:cs="Arial"/>
          <w:sz w:val="22"/>
        </w:rPr>
      </w:pPr>
      <w:r>
        <w:rPr>
          <w:rFonts w:cs="Arial" w:ascii="Arial" w:hAnsi="Arial"/>
          <w:sz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 xml:space="preserve">Informacja o przewidywanym </w:t>
      </w:r>
      <w:bookmarkStart w:id="8" w:name="_Hlk134622418"/>
      <w:r>
        <w:rPr>
          <w:rFonts w:cs="Arial" w:ascii="Arial" w:hAnsi="Arial"/>
          <w:b/>
          <w:sz w:val="22"/>
          <w:szCs w:val="22"/>
          <w:u w:val="single"/>
        </w:rPr>
        <w:t>wyborze najkorzystniejszej oferty z zastosowaniem aukcji elektronicznej</w:t>
      </w:r>
      <w:bookmarkEnd w:id="8"/>
      <w:r>
        <w:rPr>
          <w:rFonts w:cs="Arial" w:ascii="Arial" w:hAnsi="Arial"/>
          <w:b/>
          <w:sz w:val="22"/>
          <w:szCs w:val="22"/>
          <w:u w:val="single"/>
        </w:rPr>
        <w:t xml:space="preserve"> wraz z informacjami, o których mowa w art. 230, jeżeli zamawiający przewiduje aukcję elektroniczną:</w:t>
      </w:r>
    </w:p>
    <w:p>
      <w:pPr>
        <w:pStyle w:val="ListParagraph"/>
        <w:spacing w:lineRule="auto" w:line="240" w:before="0" w:after="0"/>
        <w:ind w:hanging="0" w:left="426"/>
        <w:contextualSpacing/>
        <w:rPr>
          <w:rFonts w:ascii="Arial" w:hAnsi="Arial" w:cs="Arial"/>
          <w:sz w:val="22"/>
        </w:rPr>
      </w:pPr>
      <w:r>
        <w:rPr>
          <w:rFonts w:cs="Arial" w:ascii="Arial" w:hAnsi="Arial"/>
          <w:sz w:val="22"/>
        </w:rPr>
        <w:t>Zamawiający nie przewiduje w niniejszym postępowaniu wyboru najkorzystniejszej oferty z zastosowaniem aukcji elektronicznej.</w:t>
      </w:r>
    </w:p>
    <w:p>
      <w:pPr>
        <w:pStyle w:val="ListParagraph"/>
        <w:spacing w:lineRule="auto" w:line="240" w:before="0" w:after="0"/>
        <w:ind w:hanging="426" w:left="852"/>
        <w:contextualSpacing/>
        <w:rPr>
          <w:rFonts w:ascii="Arial" w:hAnsi="Arial" w:cs="Arial"/>
          <w:sz w:val="22"/>
        </w:rPr>
      </w:pPr>
      <w:r>
        <w:rPr>
          <w:rFonts w:cs="Arial" w:ascii="Arial" w:hAnsi="Arial"/>
          <w:sz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Wymóg lub możliwość złożenia ofert w postaci katalogów elektronicznych lub dołączenia katalogów elektronicznych do oferty, w sytuacji określonej w art. 93:</w:t>
      </w:r>
    </w:p>
    <w:p>
      <w:pPr>
        <w:pStyle w:val="ListParagraph"/>
        <w:spacing w:lineRule="auto" w:line="240" w:before="0" w:after="0"/>
        <w:ind w:hanging="0" w:left="426"/>
        <w:contextualSpacing/>
        <w:rPr>
          <w:rFonts w:ascii="Arial" w:hAnsi="Arial" w:cs="Arial"/>
          <w:sz w:val="22"/>
        </w:rPr>
      </w:pPr>
      <w:r>
        <w:rPr>
          <w:rFonts w:cs="Arial" w:ascii="Arial" w:hAnsi="Arial"/>
          <w:sz w:val="22"/>
        </w:rPr>
        <w:t>Zamawiający nie przewiduje ani wymogu ani możliwości złożenia ofert w postaci katalogów elektronicznych.</w:t>
      </w:r>
    </w:p>
    <w:p>
      <w:pPr>
        <w:pStyle w:val="ListParagraph"/>
        <w:spacing w:lineRule="auto" w:line="240" w:before="0" w:after="0"/>
        <w:ind w:hanging="426" w:left="852"/>
        <w:contextualSpacing/>
        <w:rPr>
          <w:rFonts w:ascii="Arial" w:hAnsi="Arial" w:cs="Arial"/>
          <w:sz w:val="22"/>
        </w:rPr>
      </w:pPr>
      <w:r>
        <w:rPr>
          <w:rFonts w:cs="Arial" w:ascii="Arial" w:hAnsi="Arial"/>
          <w:sz w:val="22"/>
        </w:rPr>
      </w:r>
    </w:p>
    <w:p>
      <w:pPr>
        <w:pStyle w:val="Default"/>
        <w:numPr>
          <w:ilvl w:val="0"/>
          <w:numId w:val="4"/>
        </w:numPr>
        <w:ind w:hanging="426" w:left="426"/>
        <w:jc w:val="both"/>
        <w:rPr>
          <w:rFonts w:ascii="Arial" w:hAnsi="Arial" w:cs="Arial"/>
          <w:sz w:val="22"/>
          <w:szCs w:val="22"/>
        </w:rPr>
      </w:pPr>
      <w:r>
        <w:rPr>
          <w:rFonts w:cs="Arial" w:ascii="Arial" w:hAnsi="Arial"/>
          <w:b/>
          <w:sz w:val="22"/>
          <w:szCs w:val="22"/>
          <w:u w:val="single"/>
        </w:rPr>
        <w:t>Pouczenie o środkach ochrony prawnej przysługujących wykonawcy:</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Wykonawcy, a także innemu podmiotowi, jeżeli ma lub miał interes w uzyskaniu zamówienia oraz poniósł lub może ponieść szkodę w wyniku naruszenia przez Zamawiającego przepisów ustawy Pzp, przysługują środki ochrony prawnej określone w Dziale IX ustawy Pzp.</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Postępowanie odwoławcze jest prowadzone w języku polskim.</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Wszystkie dokumenty przedstawia się w języku polskim, a jeżeli zostały sporządzone w języku obcym, strona oraz uczestnik postępowania odwoławczego, który się na nie powołuje, przedstawia ich tłumaczenie na język polski.</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Pisma składane w toku postępowania odwoławczego przez strony oraz uczestników postępowania odwoławczego wnosi się z odpisami dla stron oraz uczestników postępowania odwoławczego, jeżeli pisma te składane są w formie pisemnej.</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Pisma w formie pisemnej wnosi się za pośrednictwem operatora pocztowego, w rozumieniu ustawy z dnia 23 listopada 2012 r. – Prawo pocztowe, osobiście, za pośrednictwem posłańca, a pisma w postaci elektronicznej wnosi się przy użyciu środków komunikacji elektronicznej, w tym na adres do doręczeń elektronicznych, o którym mowa w art. 2 pkt 1 ustawy z dnia 18 listopada 2020 r. o doręczeniach elektronicznych (Dz. U. z 2022 r. poz. 569 i 1002).</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Terminy oblicza się według przepisów prawa cywilnego.</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Jeżeli koniec terminu do wykonania czynności przypada na sobotę lub dzień ustawowo wolny od pracy, termin upływa dnia następnego po dniu lub dniach wolnych od pracy.</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Pełnomocnikiem może być adwokat lub radca prawny, a ponadto osoba sprawująca zarząd majątkiem lub interesami strony lub uczestnika postępowania oraz osoba pozostająca ze stroną lub uczestnikiem postępowania w stosunku zlecenia, jeżeli przedmiot sprawy wchodzi w zakres tego zlecenia.</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Pełnomocnikiem osoby prawnej, przedsiębiorcy, w tym nieposiadającego osobowości prawnej, lub jednostki nieposiadającej osobowości prawnej może być również pracownik tej jednostki.</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przysługuje na:</w:t>
      </w:r>
    </w:p>
    <w:p>
      <w:pPr>
        <w:pStyle w:val="Normal"/>
        <w:tabs>
          <w:tab w:val="clear" w:pos="708"/>
          <w:tab w:val="left" w:pos="851" w:leader="none"/>
        </w:tabs>
        <w:spacing w:lineRule="auto" w:line="240" w:before="0" w:after="0"/>
        <w:ind w:hanging="283" w:left="1134"/>
        <w:rPr>
          <w:rFonts w:ascii="Arial" w:hAnsi="Arial" w:cs="Arial"/>
          <w:sz w:val="22"/>
        </w:rPr>
      </w:pPr>
      <w:r>
        <w:rPr>
          <w:rFonts w:cs="Arial" w:ascii="Arial" w:hAnsi="Arial"/>
          <w:sz w:val="22"/>
        </w:rPr>
        <w:t>a)</w:t>
        <w:tab/>
        <w:t>niezgodną z przepisami ustawy Pzp czynność Zamawiającego, podjętą w postępowaniu o udzielenie zamówienia w tym na projektowane postanowienie umowy;</w:t>
      </w:r>
    </w:p>
    <w:p>
      <w:pPr>
        <w:pStyle w:val="Normal"/>
        <w:spacing w:lineRule="auto" w:line="240" w:before="0" w:after="0"/>
        <w:ind w:hanging="283" w:left="1134"/>
        <w:rPr>
          <w:rFonts w:ascii="Arial" w:hAnsi="Arial" w:cs="Arial"/>
          <w:sz w:val="22"/>
        </w:rPr>
      </w:pPr>
      <w:r>
        <w:rPr>
          <w:rFonts w:cs="Arial" w:ascii="Arial" w:hAnsi="Arial"/>
          <w:sz w:val="22"/>
        </w:rPr>
        <w:t>b)</w:t>
        <w:tab/>
        <w:t>zaniechanie czynności w postępowaniu o udzielenie zamówienia, do której Zamawiający był obowiązany na podstawie ustawy Pzp.</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wnosi się do Prezesa Izby.</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wnosi się w terminie:</w:t>
      </w:r>
    </w:p>
    <w:p>
      <w:pPr>
        <w:pStyle w:val="ListParagraph"/>
        <w:numPr>
          <w:ilvl w:val="0"/>
          <w:numId w:val="25"/>
        </w:numPr>
        <w:spacing w:lineRule="auto" w:line="240" w:before="0" w:after="0"/>
        <w:contextualSpacing/>
        <w:rPr>
          <w:rFonts w:ascii="Arial" w:hAnsi="Arial" w:cs="Arial"/>
          <w:sz w:val="22"/>
        </w:rPr>
      </w:pPr>
      <w:r>
        <w:rPr>
          <w:rFonts w:cs="Arial" w:ascii="Arial" w:hAnsi="Arial"/>
          <w:sz w:val="22"/>
        </w:rPr>
        <w:t>5 dni od dnia przekazania informacji o czynności zamawiającego stanowiącej podstawę jego wniesienia, jeżeli informacja została przekazana przy użyciu środków komunikacji elektronicznej,</w:t>
      </w:r>
    </w:p>
    <w:p>
      <w:pPr>
        <w:pStyle w:val="ListParagraph"/>
        <w:numPr>
          <w:ilvl w:val="0"/>
          <w:numId w:val="25"/>
        </w:numPr>
        <w:spacing w:lineRule="auto" w:line="240" w:before="0" w:after="0"/>
        <w:contextualSpacing/>
        <w:rPr>
          <w:rFonts w:ascii="Arial" w:hAnsi="Arial" w:cs="Arial"/>
          <w:sz w:val="22"/>
        </w:rPr>
      </w:pPr>
      <w:r>
        <w:rPr>
          <w:rFonts w:cs="Arial" w:ascii="Arial" w:hAnsi="Arial"/>
          <w:sz w:val="22"/>
        </w:rPr>
        <w:t>10 dni od dnia przekazania informacji o czynności zamawiającego stanowiącej podstawę jego wniesienia, jeżeli informacja została przekazana w sposób inny niż określony w lit. a.</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w przypadkach innych niż określone w ppkt. 16 i 17 wnosi się w terminie 5 dni od dnia, w którym powzięto lub przy zachowaniu należytej staranności można było powziąć wiadomość o okolicznościach stanowiących podstawę jego wniesienia.</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pPr>
        <w:pStyle w:val="Normal"/>
        <w:spacing w:lineRule="auto" w:line="240" w:before="0" w:after="0"/>
        <w:ind w:hanging="425" w:left="1276"/>
        <w:rPr>
          <w:rFonts w:ascii="Arial" w:hAnsi="Arial" w:cs="Arial"/>
          <w:sz w:val="22"/>
        </w:rPr>
      </w:pPr>
      <w:r>
        <w:rPr>
          <w:rFonts w:cs="Arial" w:ascii="Arial" w:hAnsi="Arial"/>
          <w:sz w:val="22"/>
        </w:rPr>
        <w:t>1)</w:t>
        <w:tab/>
        <w:t>15 dni od dnia zamieszczenia w Biuletynie Zamówień Publicznych ogłoszenia o wyniku postępowania,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pPr>
        <w:pStyle w:val="Normal"/>
        <w:spacing w:lineRule="auto" w:line="240" w:before="0" w:after="0"/>
        <w:ind w:hanging="425" w:left="1276"/>
        <w:rPr>
          <w:rFonts w:ascii="Arial" w:hAnsi="Arial" w:cs="Arial"/>
          <w:sz w:val="22"/>
        </w:rPr>
      </w:pPr>
      <w:r>
        <w:rPr>
          <w:rFonts w:cs="Arial" w:ascii="Arial" w:hAnsi="Arial"/>
          <w:sz w:val="22"/>
        </w:rPr>
        <w:t>2)</w:t>
        <w:tab/>
        <w:t>miesiąca od dnia zawarcia umowy, jeżeli zamawiający:</w:t>
      </w:r>
    </w:p>
    <w:p>
      <w:pPr>
        <w:pStyle w:val="Normal"/>
        <w:spacing w:lineRule="auto" w:line="240" w:before="0" w:after="0"/>
        <w:ind w:hanging="425" w:left="1701"/>
        <w:rPr>
          <w:rFonts w:ascii="Arial" w:hAnsi="Arial" w:cs="Arial"/>
          <w:sz w:val="22"/>
        </w:rPr>
      </w:pPr>
      <w:r>
        <w:rPr>
          <w:rFonts w:cs="Arial" w:ascii="Arial" w:hAnsi="Arial"/>
          <w:sz w:val="22"/>
        </w:rPr>
        <w:t>a)</w:t>
        <w:tab/>
        <w:t>nie zamieścił w Biuletynie Zamówień Publicznych ogłoszenia o wyniku postępowania albo</w:t>
      </w:r>
    </w:p>
    <w:p>
      <w:pPr>
        <w:pStyle w:val="Normal"/>
        <w:spacing w:lineRule="auto" w:line="240" w:before="0" w:after="0"/>
        <w:ind w:hanging="425" w:left="1701"/>
        <w:rPr>
          <w:rFonts w:ascii="Arial" w:hAnsi="Arial" w:cs="Arial"/>
          <w:sz w:val="22"/>
        </w:rPr>
      </w:pPr>
      <w:r>
        <w:rPr>
          <w:rFonts w:cs="Arial" w:ascii="Arial" w:hAnsi="Arial"/>
          <w:sz w:val="22"/>
        </w:rPr>
        <w:t>b)</w:t>
        <w:tab/>
        <w:t>zamieścił w Biuletynie Zamówień Publicznych ogłoszenie o wyniku postępowania, które nie zawiera uzasadnienia udzielenia zamówienia w trybie negocjacji bez ogłoszenia albo zamówienia z wolnej ręki.</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Odwołanie zawiera:</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imię i nazwisko albo nazwę, miejsce zamieszkania albo siedzibę, numer telefonu oraz adres poczty elektronicznej odwołującego oraz imię i nazwisko przedstawiciela (przedstawicieli);</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nazwę i siedzibę zamawiającego, numer telefonu oraz adres poczty elektronicznej zamawiającego;</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numer Powszechnego Elektronicznego Systemu Ewidencji Ludności (PESEL) lub NIP odwołującego będącego osobą fizyczną, jeżeli jest on obowiązany do jego posiadania albo posiada go nie mając takiego obowiązku;</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określenie przedmiotu zamówienia;</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wskazanie numeru ogłoszenia w przypadku zamieszczenia w Biuletynie Zamówień Publicznych;</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wskazanie czynności lub zaniechania czynności zamawiającego, której zarzuca się niezgodność z przepisami ustawy,</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zwięzłe przedstawienie zarzutów;</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żądanie co do sposobu rozstrzygnięcia odwołania;</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wskazanie okoliczności faktycznych i prawnych uzasadniających wniesienie odwołania oraz dowodów na poparcie przytoczonych okoliczności;</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podpis odwołującego albo jego przedstawiciela lub przedstawicieli;</w:t>
      </w:r>
    </w:p>
    <w:p>
      <w:pPr>
        <w:pStyle w:val="ListParagraph"/>
        <w:numPr>
          <w:ilvl w:val="0"/>
          <w:numId w:val="26"/>
        </w:numPr>
        <w:spacing w:lineRule="auto" w:line="240" w:before="0" w:after="0"/>
        <w:ind w:hanging="283" w:left="1134"/>
        <w:contextualSpacing/>
        <w:rPr>
          <w:rFonts w:ascii="Arial" w:hAnsi="Arial" w:cs="Arial"/>
          <w:sz w:val="22"/>
        </w:rPr>
      </w:pPr>
      <w:r>
        <w:rPr>
          <w:rFonts w:cs="Arial" w:ascii="Arial" w:hAnsi="Arial"/>
          <w:sz w:val="22"/>
        </w:rPr>
        <w:t>wykaz załączników.</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Do odwołania dołącza się:</w:t>
      </w:r>
    </w:p>
    <w:p>
      <w:pPr>
        <w:pStyle w:val="ListParagraph"/>
        <w:numPr>
          <w:ilvl w:val="0"/>
          <w:numId w:val="27"/>
        </w:numPr>
        <w:spacing w:lineRule="auto" w:line="240" w:before="0" w:after="0"/>
        <w:ind w:hanging="295" w:left="1146"/>
        <w:contextualSpacing/>
        <w:rPr>
          <w:rFonts w:ascii="Arial" w:hAnsi="Arial" w:cs="Arial"/>
          <w:sz w:val="22"/>
        </w:rPr>
      </w:pPr>
      <w:r>
        <w:rPr>
          <w:rFonts w:cs="Arial" w:ascii="Arial" w:hAnsi="Arial"/>
          <w:sz w:val="22"/>
        </w:rPr>
        <w:t>dowód uiszczenia wpisu od odwołania w wymaganej wysokości;</w:t>
      </w:r>
    </w:p>
    <w:p>
      <w:pPr>
        <w:pStyle w:val="ListParagraph"/>
        <w:numPr>
          <w:ilvl w:val="0"/>
          <w:numId w:val="27"/>
        </w:numPr>
        <w:spacing w:lineRule="auto" w:line="240" w:before="0" w:after="0"/>
        <w:ind w:hanging="295" w:left="1146"/>
        <w:contextualSpacing/>
        <w:rPr>
          <w:rFonts w:ascii="Arial" w:hAnsi="Arial" w:cs="Arial"/>
          <w:sz w:val="22"/>
        </w:rPr>
      </w:pPr>
      <w:r>
        <w:rPr>
          <w:rFonts w:cs="Arial" w:ascii="Arial" w:hAnsi="Arial"/>
          <w:sz w:val="22"/>
        </w:rPr>
        <w:t>dowód przekazania odpowiednio odwołania albo jego kopii zamawiającemu;</w:t>
      </w:r>
    </w:p>
    <w:p>
      <w:pPr>
        <w:pStyle w:val="ListParagraph"/>
        <w:numPr>
          <w:ilvl w:val="0"/>
          <w:numId w:val="27"/>
        </w:numPr>
        <w:spacing w:lineRule="auto" w:line="240" w:before="0" w:after="0"/>
        <w:ind w:hanging="295" w:left="1146"/>
        <w:contextualSpacing/>
        <w:rPr>
          <w:rFonts w:ascii="Arial" w:hAnsi="Arial" w:cs="Arial"/>
          <w:sz w:val="22"/>
        </w:rPr>
      </w:pPr>
      <w:r>
        <w:rPr>
          <w:rFonts w:cs="Arial" w:ascii="Arial" w:hAnsi="Arial"/>
          <w:sz w:val="22"/>
        </w:rPr>
        <w:t>dokument potwierdzający umocowanie do reprezentowania odwołującego.</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Szczegółowe zasady postępowania po wniesieniu odwołania, określają stosowne przepisy Działu IX ustawy Pzp.</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Na orzeczenie Krajowej Izby Odwoławczej oraz postanowienie Prezesa Izby, stronom oraz uczestnikom postępowania odwoławczego przysługuje skarga do sądu.</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Skargę wnosi się do Sądu Okręgowego w Warszawie - sądu zamówień publicznych, za pośrednictwem Prezesa Krajowej Izby Odwoławczej w terminie 14 dni od dnia doręczenia orzeczenia Krajowej Izby Odwoławczej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pPr>
        <w:pStyle w:val="ListParagraph"/>
        <w:numPr>
          <w:ilvl w:val="0"/>
          <w:numId w:val="24"/>
        </w:numPr>
        <w:spacing w:lineRule="auto" w:line="240" w:before="0" w:after="0"/>
        <w:contextualSpacing/>
        <w:rPr>
          <w:rFonts w:ascii="Arial" w:hAnsi="Arial" w:cs="Arial"/>
          <w:sz w:val="22"/>
        </w:rPr>
      </w:pPr>
      <w:r>
        <w:rPr>
          <w:rFonts w:cs="Arial" w:ascii="Arial" w:hAnsi="Arial"/>
          <w:sz w:val="22"/>
        </w:rPr>
        <w:t>Na zasadach określonych w art. 590 ustawy Pzp od wyroku sądu lub postanowienia kończącego postępowanie w sprawie przysługuje skarga kasacyjna do Sądu Najwyższego.</w:t>
      </w:r>
    </w:p>
    <w:p>
      <w:pPr>
        <w:pStyle w:val="Normal"/>
        <w:spacing w:lineRule="auto" w:line="240" w:before="0" w:after="0"/>
        <w:ind w:hanging="0" w:left="10"/>
        <w:rPr>
          <w:rFonts w:ascii="Arial" w:hAnsi="Arial" w:cs="Arial"/>
          <w:sz w:val="22"/>
        </w:rPr>
      </w:pPr>
      <w:r>
        <w:rPr>
          <w:rFonts w:cs="Arial" w:ascii="Arial" w:hAnsi="Arial"/>
          <w:sz w:val="22"/>
        </w:rPr>
      </w:r>
    </w:p>
    <w:p>
      <w:pPr>
        <w:pStyle w:val="Normal"/>
        <w:spacing w:lineRule="auto" w:line="240" w:before="0" w:after="0"/>
        <w:ind w:hanging="0" w:left="10"/>
        <w:rPr>
          <w:rFonts w:ascii="Arial" w:hAnsi="Arial" w:cs="Arial"/>
          <w:sz w:val="22"/>
        </w:rPr>
      </w:pPr>
      <w:r>
        <w:rPr>
          <w:rFonts w:cs="Arial" w:ascii="Arial" w:hAnsi="Arial"/>
          <w:sz w:val="22"/>
        </w:rPr>
      </w:r>
    </w:p>
    <w:p>
      <w:pPr>
        <w:pStyle w:val="Normal"/>
        <w:spacing w:lineRule="auto" w:line="240" w:before="0" w:after="0"/>
        <w:ind w:hanging="0" w:left="10"/>
        <w:rPr>
          <w:rFonts w:ascii="Arial" w:hAnsi="Arial" w:cs="Arial"/>
          <w:sz w:val="22"/>
        </w:rPr>
      </w:pPr>
      <w:r>
        <w:rPr>
          <w:rFonts w:cs="Arial" w:ascii="Arial" w:hAnsi="Arial"/>
          <w:sz w:val="22"/>
        </w:rPr>
      </w:r>
    </w:p>
    <w:p>
      <w:pPr>
        <w:pStyle w:val="Normal"/>
        <w:spacing w:lineRule="auto" w:line="240" w:before="0" w:after="0"/>
        <w:ind w:hanging="0" w:left="10"/>
        <w:rPr>
          <w:rFonts w:ascii="Arial" w:hAnsi="Arial" w:cs="Arial"/>
          <w:sz w:val="22"/>
        </w:rPr>
      </w:pPr>
      <w:r>
        <w:rPr>
          <w:rFonts w:cs="Arial" w:ascii="Arial" w:hAnsi="Arial"/>
          <w:sz w:val="22"/>
        </w:rPr>
      </w:r>
    </w:p>
    <w:p>
      <w:pPr>
        <w:pStyle w:val="Normal"/>
        <w:tabs>
          <w:tab w:val="clear" w:pos="708"/>
          <w:tab w:val="center" w:pos="4607" w:leader="none"/>
        </w:tabs>
        <w:spacing w:lineRule="auto" w:line="360"/>
        <w:ind w:hanging="10" w:left="20" w:right="28"/>
        <w:rPr>
          <w:rFonts w:ascii="Arial" w:hAnsi="Arial" w:cs="Arial"/>
          <w:b/>
          <w:sz w:val="22"/>
        </w:rPr>
      </w:pPr>
      <w:r>
        <w:rPr>
          <w:rFonts w:cs="Arial" w:ascii="Arial" w:hAnsi="Arial"/>
          <w:b/>
          <w:sz w:val="22"/>
        </w:rPr>
        <w:t>Załączniki:</w:t>
      </w:r>
    </w:p>
    <w:tbl>
      <w:tblPr>
        <w:tblStyle w:val="Tabela-Siatka"/>
        <w:tblW w:w="904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66"/>
        <w:gridCol w:w="6779"/>
      </w:tblGrid>
      <w:tr>
        <w:trPr>
          <w:trHeight w:val="415" w:hRule="atLeast"/>
        </w:trPr>
        <w:tc>
          <w:tcPr>
            <w:tcW w:w="2266" w:type="dxa"/>
            <w:tcBorders>
              <w:top w:val="nil"/>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1</w:t>
            </w:r>
          </w:p>
        </w:tc>
        <w:tc>
          <w:tcPr>
            <w:tcW w:w="6779" w:type="dxa"/>
            <w:tcBorders>
              <w:top w:val="nil"/>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Opis Przedmiotu Zamówienia (opis przedmiotu zamówienia, przedmiar robót, specyfikacje techniczne wykonania i odbioru robót budowlanych, dokumentacja projektowa)</w:t>
            </w:r>
          </w:p>
        </w:tc>
      </w:tr>
      <w:tr>
        <w:trPr>
          <w:trHeight w:val="562"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2</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Formularz oferty</w:t>
            </w:r>
          </w:p>
        </w:tc>
      </w:tr>
      <w:tr>
        <w:trPr>
          <w:trHeight w:val="840"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3</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Projektowane postanowienia umowy, które zostaną wprowadzone do treści umowy w sprawie zamówienia</w:t>
            </w:r>
          </w:p>
        </w:tc>
      </w:tr>
      <w:tr>
        <w:trPr>
          <w:trHeight w:val="407"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4.</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Wzór oświadczenia o którym mowa w art. 125 ust. 1 ustawy Pzp, o niepodleganiu wykluczeniu z postępowania oraz spełnianiu warunków udziału w postępowaniu</w:t>
            </w:r>
          </w:p>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oraz</w:t>
            </w:r>
          </w:p>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Wzór oświadczenia podmiotu udostępniającego zasoby o braku podstaw wykluczenia oraz spełnianiu warunków udziału w postępowaniu, w zakresie w jakim Wykonawca powołuje się na jego zasoby</w:t>
            </w:r>
          </w:p>
        </w:tc>
      </w:tr>
      <w:tr>
        <w:trPr>
          <w:trHeight w:val="525"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5.</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Zobowiązanie podmiotu udostępniającego Wykonawcy zasoby, do oddania do dyspozycji Wykonawcy niezbędnych zasobów na potrzeby realizacji zamówienia</w:t>
            </w:r>
          </w:p>
        </w:tc>
      </w:tr>
      <w:tr>
        <w:trPr>
          <w:trHeight w:val="525"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6</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Oświadczenie, o którym mowa w art. 117 ust. 4 ustawy Pzp</w:t>
            </w:r>
          </w:p>
        </w:tc>
      </w:tr>
      <w:tr>
        <w:trPr>
          <w:trHeight w:val="525"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7a.</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Wykaz robót budowlanych – wzór dokumentu</w:t>
            </w:r>
          </w:p>
        </w:tc>
      </w:tr>
      <w:tr>
        <w:trPr>
          <w:trHeight w:val="525" w:hRule="atLeast"/>
        </w:trPr>
        <w:tc>
          <w:tcPr>
            <w:tcW w:w="2266"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Załącznik nr 7b.</w:t>
            </w:r>
          </w:p>
        </w:tc>
        <w:tc>
          <w:tcPr>
            <w:tcW w:w="6779" w:type="dxa"/>
            <w:tcBorders>
              <w:left w:val="nil"/>
              <w:right w:val="nil"/>
            </w:tcBorders>
            <w:vAlign w:val="center"/>
          </w:tcPr>
          <w:p>
            <w:pPr>
              <w:pStyle w:val="Normal"/>
              <w:widowControl/>
              <w:suppressAutoHyphens w:val="false"/>
              <w:spacing w:before="0" w:after="57"/>
              <w:ind w:hanging="10" w:left="20" w:right="28"/>
              <w:rPr>
                <w:rFonts w:ascii="Arial" w:hAnsi="Arial" w:cs="Arial"/>
                <w:sz w:val="22"/>
              </w:rPr>
            </w:pPr>
            <w:r>
              <w:rPr>
                <w:rFonts w:cs="Arial" w:ascii="Arial" w:hAnsi="Arial"/>
                <w:kern w:val="0"/>
                <w:sz w:val="22"/>
                <w:szCs w:val="20"/>
                <w:lang w:val="pl-PL" w:eastAsia="pl-PL" w:bidi="ar-SA"/>
              </w:rPr>
              <w:t>Wykaz osób – wzór dokumentu</w:t>
            </w:r>
          </w:p>
        </w:tc>
      </w:tr>
    </w:tbl>
    <w:p>
      <w:pPr>
        <w:pStyle w:val="Normal"/>
        <w:spacing w:lineRule="auto" w:line="240" w:before="0" w:after="0"/>
        <w:ind w:hanging="0" w:left="0"/>
        <w:jc w:val="left"/>
        <w:rPr>
          <w:rFonts w:ascii="Arial" w:hAnsi="Arial" w:cs="Arial"/>
          <w:sz w:val="22"/>
        </w:rPr>
      </w:pPr>
      <w:r>
        <w:rPr>
          <w:rFonts w:cs="Arial" w:ascii="Arial" w:hAnsi="Arial"/>
          <w:sz w:val="22"/>
        </w:rPr>
      </w:r>
    </w:p>
    <w:sectPr>
      <w:headerReference w:type="even" r:id="rId16"/>
      <w:headerReference w:type="default" r:id="rId17"/>
      <w:headerReference w:type="first" r:id="rId18"/>
      <w:type w:val="nextPage"/>
      <w:pgSz w:w="11906" w:h="16838"/>
      <w:pgMar w:left="1385" w:right="1094" w:gutter="0" w:header="748" w:top="1461" w:footer="0" w:bottom="127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Segoe UI">
    <w:charset w:val="ee"/>
    <w:family w:val="roman"/>
    <w:pitch w:val="variable"/>
  </w:font>
  <w:font w:name="Liberation Sans">
    <w:altName w:val="Arial"/>
    <w:charset w:val="ee"/>
    <w:family w:val="swiss"/>
    <w:pitch w:val="variable"/>
  </w:font>
  <w:font w:name="Times New Roman">
    <w:charset w:val="ee"/>
    <w:family w:val="roman"/>
    <w:pitch w:val="variable"/>
  </w:font>
  <w:font w:name="Arial">
    <w:charset w:val="ee"/>
    <w:family w:val="roman"/>
    <w:pitch w:val="variable"/>
  </w:font>
  <w:font w:name="Calibri-Bold">
    <w:charset w:val="ee"/>
    <w:family w:val="roman"/>
    <w:pitch w:val="variable"/>
  </w:font>
  <w:font w:name="Helvetica Neue">
    <w:charset w:val="ee"/>
    <w:family w:val="roman"/>
    <w:pitch w:val="variable"/>
  </w:font>
  <w:font w:name="Wingdings">
    <w:charset w:val="02"/>
    <w:family w:val="auto"/>
    <w:pitch w:val="variable"/>
  </w:font>
  <w:font w:name="Courier New">
    <w:charset w:val="01"/>
    <w:family w:val="modern"/>
    <w:pitch w:val="fixed"/>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570" w:leader="none"/>
        <w:tab w:val="center" w:pos="7655" w:leader="none"/>
      </w:tabs>
      <w:spacing w:lineRule="auto" w:line="259" w:before="0" w:after="456"/>
      <w:ind w:hanging="0" w:left="0"/>
      <w:jc w:val="left"/>
      <w:rPr/>
    </w:pPr>
    <w:r>
      <mc:AlternateContent>
        <mc:Choice Requires="wpg">
          <w:drawing>
            <wp:anchor behindDoc="1" distT="0" distB="0" distL="114300" distR="114300" simplePos="0" locked="0" layoutInCell="0" allowOverlap="1" relativeHeight="2">
              <wp:simplePos x="0" y="0"/>
              <wp:positionH relativeFrom="page">
                <wp:posOffset>0</wp:posOffset>
              </wp:positionH>
              <wp:positionV relativeFrom="page">
                <wp:posOffset>0</wp:posOffset>
              </wp:positionV>
              <wp:extent cx="5798820" cy="9525"/>
              <wp:effectExtent l="0" t="0" r="635" b="0"/>
              <wp:wrapSquare wrapText="bothSides"/>
              <wp:docPr id="1" name="Group 36153"/>
              <a:graphic xmlns:a="http://schemas.openxmlformats.org/drawingml/2006/main">
                <a:graphicData uri="http://schemas.microsoft.com/office/word/2010/wordprocessingGroup">
                  <wpg:wgp>
                    <wpg:cNvGrpSpPr/>
                    <wpg:grpSpPr>
                      <a:xfrm>
                        <a:off x="0" y="0"/>
                        <a:ext cx="5798880" cy="9360"/>
                        <a:chOff x="0" y="0"/>
                        <a:chExt cx="5798880" cy="9360"/>
                      </a:xfrm>
                    </wpg:grpSpPr>
                    <wps:wsp>
                      <wps:cNvSpPr/>
                      <wps:spPr>
                        <a:xfrm>
                          <a:off x="0" y="0"/>
                          <a:ext cx="5798880" cy="9360"/>
                        </a:xfrm>
                        <a:custGeom>
                          <a:avLst/>
                          <a:gdLst/>
                          <a:ahLst/>
                          <a:rect l="0" t="0" r="r" b="b"/>
                          <a:pathLst>
                            <a:path w="16108" h="26">
                              <a:moveTo>
                                <a:pt x="0" y="0"/>
                              </a:moveTo>
                              <a:lnTo>
                                <a:pt x="16108" y="0"/>
                              </a:lnTo>
                              <a:lnTo>
                                <a:pt x="16108" y="26"/>
                              </a:lnTo>
                              <a:lnTo>
                                <a:pt x="0" y="26"/>
                              </a:lnTo>
                              <a:lnTo>
                                <a:pt x="0" y="0"/>
                              </a:lnTo>
                              <a:close/>
                            </a:path>
                          </a:pathLst>
                        </a:custGeom>
                        <a:solidFill>
                          <a:srgbClr val="000000"/>
                        </a:solidFill>
                        <a:ln w="0">
                          <a:noFill/>
                        </a:ln>
                      </wps:spPr>
                      <wps:bodyPr/>
                    </wps:wsp>
                  </wpg:wgp>
                </a:graphicData>
              </a:graphic>
            </wp:anchor>
          </w:drawing>
        </mc:Choice>
        <mc:Fallback>
          <w:pict>
            <v:group id="shape_0" alt="Group 36153" style="position:absolute;margin-left:0pt;margin-top:0pt;width:456.55pt;height:0.7pt" coordorigin="0,0" coordsize="9131,14">
              <v:shape id="shape_0" ID="Dowolny kształt: kształt 1886173978" coordsize="16109,27" path="m0,0l16108,0l16108,26l0,26l0,0e" fillcolor="black" stroked="f" o:allowincell="f" style="position:absolute;left:0;top:0;width:9131;height:14;mso-wrap-style:none;v-text-anchor:middle;mso-position-horizontal-relative:page;mso-position-vertical-relative:page">
                <v:fill o:detectmouseclick="t" type="solid" color2="white"/>
                <v:stroke color="#3465a4" joinstyle="round" endcap="flat"/>
                <w10:wrap type="square"/>
              </v:shape>
            </v:group>
          </w:pict>
        </mc:Fallback>
      </mc:AlternateContent>
    </w:r>
    <w:r>
      <w:rPr>
        <w:b/>
        <w:color w:val="333399"/>
      </w:rPr>
      <w:t>O</w:t>
    </w:r>
    <w:r>
      <w:rPr>
        <w:b/>
        <w:color w:val="333399"/>
        <w:sz w:val="16"/>
      </w:rPr>
      <w:t>ZNACZENIE SPRAWY</w:t>
    </w:r>
    <w:r>
      <w:rPr>
        <w:b/>
        <w:color w:val="333399"/>
      </w:rPr>
      <w:t>:</w:t>
      <w:tab/>
      <w:t xml:space="preserve"> </w:t>
      <w:tab/>
      <w:t>S</w:t>
    </w:r>
    <w:r>
      <w:rPr>
        <w:b/>
        <w:color w:val="333399"/>
        <w:sz w:val="16"/>
      </w:rPr>
      <w:t xml:space="preserve">PECYFIKACJA </w:t>
    </w:r>
    <w:r>
      <w:rPr>
        <w:b/>
        <w:color w:val="333399"/>
      </w:rPr>
      <w:t>W</w:t>
    </w:r>
    <w:r>
      <w:rPr>
        <w:b/>
        <w:color w:val="333399"/>
        <w:sz w:val="16"/>
      </w:rPr>
      <w:t xml:space="preserve">ARUNKÓW </w:t>
    </w:r>
    <w:r>
      <w:rPr>
        <w:b/>
        <w:color w:val="333399"/>
      </w:rPr>
      <w:t>Z</w:t>
    </w:r>
    <w:r>
      <w:rPr>
        <w:b/>
        <w:color w:val="333399"/>
        <w:sz w:val="16"/>
      </w:rPr>
      <w:t>AMÓWIENIA</w:t>
    </w:r>
    <w:r>
      <w:rPr>
        <w:b/>
        <w:color w:val="333399"/>
      </w:rPr>
      <w:t xml:space="preserve"> </w:t>
    </w:r>
  </w:p>
  <w:p>
    <w:pPr>
      <w:pStyle w:val="Normal"/>
      <w:spacing w:lineRule="auto" w:line="259" w:before="0" w:after="0"/>
      <w:ind w:hanging="0" w:left="389"/>
      <w:jc w:val="left"/>
      <w:rPr/>
    </w:pPr>
    <w:r>
      <w:rPr>
        <w:rFonts w:eastAsia="Arial" w:cs="Arial" w:ascii="Arial" w:hAnsi="Arial"/>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57"/>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57"/>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36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1">
      <w:start w:val="1"/>
      <w:numFmt w:val="bullet"/>
      <w:lvlText w:val="o"/>
      <w:lvlJc w:val="left"/>
      <w:pPr>
        <w:tabs>
          <w:tab w:val="num" w:pos="0"/>
        </w:tabs>
        <w:ind w:left="647"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2">
      <w:start w:val="1"/>
      <w:numFmt w:val="bullet"/>
      <w:lvlText w:val="▪"/>
      <w:lvlJc w:val="left"/>
      <w:pPr>
        <w:tabs>
          <w:tab w:val="num" w:pos="0"/>
        </w:tabs>
        <w:ind w:left="933"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3">
      <w:start w:val="1"/>
      <w:numFmt w:val="bullet"/>
      <w:lvlText w:val=""/>
      <w:lvlJc w:val="left"/>
      <w:pPr>
        <w:tabs>
          <w:tab w:val="num" w:pos="0"/>
        </w:tabs>
        <w:ind w:left="1142"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4">
      <w:start w:val="1"/>
      <w:numFmt w:val="bullet"/>
      <w:lvlText w:val="o"/>
      <w:lvlJc w:val="left"/>
      <w:pPr>
        <w:tabs>
          <w:tab w:val="num" w:pos="0"/>
        </w:tabs>
        <w:ind w:left="194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5">
      <w:start w:val="1"/>
      <w:numFmt w:val="bullet"/>
      <w:lvlText w:val="▪"/>
      <w:lvlJc w:val="left"/>
      <w:pPr>
        <w:tabs>
          <w:tab w:val="num" w:pos="0"/>
        </w:tabs>
        <w:ind w:left="266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6">
      <w:start w:val="1"/>
      <w:numFmt w:val="bullet"/>
      <w:lvlText w:val="•"/>
      <w:lvlJc w:val="left"/>
      <w:pPr>
        <w:tabs>
          <w:tab w:val="num" w:pos="0"/>
        </w:tabs>
        <w:ind w:left="338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7">
      <w:start w:val="1"/>
      <w:numFmt w:val="bullet"/>
      <w:lvlText w:val="o"/>
      <w:lvlJc w:val="left"/>
      <w:pPr>
        <w:tabs>
          <w:tab w:val="num" w:pos="0"/>
        </w:tabs>
        <w:ind w:left="410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lvl w:ilvl="8">
      <w:start w:val="1"/>
      <w:numFmt w:val="bullet"/>
      <w:lvlText w:val="▪"/>
      <w:lvlJc w:val="left"/>
      <w:pPr>
        <w:tabs>
          <w:tab w:val="num" w:pos="0"/>
        </w:tabs>
        <w:ind w:left="4820" w:hanging="0"/>
      </w:pPr>
      <w:rPr>
        <w:rFonts w:ascii="Wingdings" w:hAnsi="Wingdings" w:cs="Wingdings" w:hint="default"/>
        <w:dstrike w:val="false"/>
        <w:strike w:val="false"/>
        <w:vertAlign w:val="baseline"/>
        <w:position w:val="0"/>
        <w:sz w:val="20"/>
        <w:sz w:val="20"/>
        <w:i w:val="false"/>
        <w:u w:val="none" w:color="000000"/>
        <w:b w:val="false"/>
        <w:shd w:fill="auto" w:val="clear"/>
        <w:szCs w:val="20"/>
        <w:color w:val="000000"/>
      </w:rPr>
    </w:lvl>
  </w:abstractNum>
  <w:abstractNum w:abstractNumId="2">
    <w:lvl w:ilvl="0">
      <w:start w:val="1"/>
      <w:numFmt w:val="lowerLetter"/>
      <w:lvlText w:val="%1)"/>
      <w:lvlJc w:val="left"/>
      <w:pPr>
        <w:tabs>
          <w:tab w:val="num" w:pos="0"/>
        </w:tabs>
        <w:ind w:left="268" w:hanging="0"/>
      </w:pPr>
      <w:rPr>
        <w:dstrike w:val="false"/>
        <w:strike w:val="false"/>
        <w:vertAlign w:val="baseline"/>
        <w:position w:val="0"/>
        <w:sz w:val="20"/>
        <w:sz w:val="20"/>
        <w:i w:val="false"/>
        <w:u w:val="none" w:color="000000"/>
        <w:b w:val="false"/>
        <w:shd w:fill="auto" w:val="clear"/>
        <w:szCs w:val="20"/>
        <w:rFonts w:ascii="Arial" w:hAnsi="Arial" w:eastAsia="Arial" w:cs="Arial"/>
        <w:color w:val="000000"/>
      </w:rPr>
    </w:lvl>
    <w:lvl w:ilvl="1">
      <w:start w:val="1"/>
      <w:numFmt w:val="lowerLetter"/>
      <w:lvlText w:val="%2"/>
      <w:lvlJc w:val="left"/>
      <w:pPr>
        <w:tabs>
          <w:tab w:val="num" w:pos="0"/>
        </w:tabs>
        <w:ind w:left="108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2">
      <w:start w:val="1"/>
      <w:numFmt w:val="lowerRoman"/>
      <w:lvlText w:val="%3"/>
      <w:lvlJc w:val="left"/>
      <w:pPr>
        <w:tabs>
          <w:tab w:val="num" w:pos="0"/>
        </w:tabs>
        <w:ind w:left="180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3">
      <w:start w:val="1"/>
      <w:numFmt w:val="decimal"/>
      <w:lvlText w:val="%4"/>
      <w:lvlJc w:val="left"/>
      <w:pPr>
        <w:tabs>
          <w:tab w:val="num" w:pos="0"/>
        </w:tabs>
        <w:ind w:left="252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4">
      <w:start w:val="1"/>
      <w:numFmt w:val="lowerLetter"/>
      <w:lvlText w:val="%5"/>
      <w:lvlJc w:val="left"/>
      <w:pPr>
        <w:tabs>
          <w:tab w:val="num" w:pos="0"/>
        </w:tabs>
        <w:ind w:left="324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5">
      <w:start w:val="1"/>
      <w:numFmt w:val="lowerRoman"/>
      <w:lvlText w:val="%6"/>
      <w:lvlJc w:val="left"/>
      <w:pPr>
        <w:tabs>
          <w:tab w:val="num" w:pos="0"/>
        </w:tabs>
        <w:ind w:left="396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6">
      <w:start w:val="1"/>
      <w:numFmt w:val="decimal"/>
      <w:lvlText w:val="%7"/>
      <w:lvlJc w:val="left"/>
      <w:pPr>
        <w:tabs>
          <w:tab w:val="num" w:pos="0"/>
        </w:tabs>
        <w:ind w:left="468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7">
      <w:start w:val="1"/>
      <w:numFmt w:val="lowerLetter"/>
      <w:lvlText w:val="%8"/>
      <w:lvlJc w:val="left"/>
      <w:pPr>
        <w:tabs>
          <w:tab w:val="num" w:pos="0"/>
        </w:tabs>
        <w:ind w:left="540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lvl w:ilvl="8">
      <w:start w:val="1"/>
      <w:numFmt w:val="lowerRoman"/>
      <w:lvlText w:val="%9"/>
      <w:lvlJc w:val="left"/>
      <w:pPr>
        <w:tabs>
          <w:tab w:val="num" w:pos="0"/>
        </w:tabs>
        <w:ind w:left="6120" w:hanging="0"/>
      </w:pPr>
      <w:rPr>
        <w:dstrike w:val="false"/>
        <w:strike w:val="false"/>
        <w:vertAlign w:val="baseline"/>
        <w:position w:val="0"/>
        <w:sz w:val="23"/>
        <w:sz w:val="23"/>
        <w:i w:val="false"/>
        <w:u w:val="none" w:color="000000"/>
        <w:b w:val="false"/>
        <w:shd w:fill="auto" w:val="clear"/>
        <w:szCs w:val="23"/>
        <w:rFonts w:ascii="Arial" w:hAnsi="Arial" w:eastAsia="Arial" w:cs="Arial"/>
        <w:color w:val="000000"/>
      </w:rPr>
    </w:lvl>
  </w:abstractNum>
  <w:abstractNum w:abstractNumId="3">
    <w:lvl w:ilvl="0">
      <w:start w:val="2"/>
      <w:numFmt w:val="decimal"/>
      <w:lvlText w:val="%1."/>
      <w:lvlJc w:val="left"/>
      <w:pPr>
        <w:tabs>
          <w:tab w:val="num" w:pos="0"/>
        </w:tabs>
        <w:ind w:left="360" w:hanging="360"/>
      </w:pPr>
      <w:rPr>
        <w:b/>
        <w:color w:val="auto"/>
      </w:rPr>
    </w:lvl>
    <w:lvl w:ilvl="1">
      <w:start w:val="1"/>
      <w:numFmt w:val="decimal"/>
      <w:lvlText w:val="%1.%2."/>
      <w:lvlJc w:val="left"/>
      <w:pPr>
        <w:tabs>
          <w:tab w:val="num" w:pos="0"/>
        </w:tabs>
        <w:ind w:left="717" w:hanging="360"/>
      </w:pPr>
      <w:rPr/>
    </w:lvl>
    <w:lvl w:ilvl="2">
      <w:start w:val="1"/>
      <w:numFmt w:val="decimal"/>
      <w:lvlText w:val="%1.%2.%3."/>
      <w:lvlJc w:val="left"/>
      <w:pPr>
        <w:tabs>
          <w:tab w:val="num" w:pos="0"/>
        </w:tabs>
        <w:ind w:left="1434" w:hanging="720"/>
      </w:pPr>
      <w:rPr/>
    </w:lvl>
    <w:lvl w:ilvl="3">
      <w:start w:val="1"/>
      <w:numFmt w:val="decimal"/>
      <w:lvlText w:val="%1.%2.%3.%4."/>
      <w:lvlJc w:val="left"/>
      <w:pPr>
        <w:tabs>
          <w:tab w:val="num" w:pos="0"/>
        </w:tabs>
        <w:ind w:left="1791" w:hanging="720"/>
      </w:pPr>
      <w:rPr/>
    </w:lvl>
    <w:lvl w:ilvl="4">
      <w:start w:val="1"/>
      <w:numFmt w:val="decimal"/>
      <w:lvlText w:val="%1.%2.%3.%4.%5."/>
      <w:lvlJc w:val="left"/>
      <w:pPr>
        <w:tabs>
          <w:tab w:val="num" w:pos="0"/>
        </w:tabs>
        <w:ind w:left="2508" w:hanging="1080"/>
      </w:pPr>
      <w:rPr/>
    </w:lvl>
    <w:lvl w:ilvl="5">
      <w:start w:val="1"/>
      <w:numFmt w:val="decimal"/>
      <w:lvlText w:val="%1.%2.%3.%4.%5.%6."/>
      <w:lvlJc w:val="left"/>
      <w:pPr>
        <w:tabs>
          <w:tab w:val="num" w:pos="0"/>
        </w:tabs>
        <w:ind w:left="2865" w:hanging="1080"/>
      </w:pPr>
      <w:rPr/>
    </w:lvl>
    <w:lvl w:ilvl="6">
      <w:start w:val="1"/>
      <w:numFmt w:val="decimal"/>
      <w:lvlText w:val="%1.%2.%3.%4.%5.%6.%7."/>
      <w:lvlJc w:val="left"/>
      <w:pPr>
        <w:tabs>
          <w:tab w:val="num" w:pos="0"/>
        </w:tabs>
        <w:ind w:left="3582" w:hanging="1440"/>
      </w:pPr>
      <w:rPr/>
    </w:lvl>
    <w:lvl w:ilvl="7">
      <w:start w:val="1"/>
      <w:numFmt w:val="decimal"/>
      <w:lvlText w:val="%1.%2.%3.%4.%5.%6.%7.%8."/>
      <w:lvlJc w:val="left"/>
      <w:pPr>
        <w:tabs>
          <w:tab w:val="num" w:pos="0"/>
        </w:tabs>
        <w:ind w:left="3939" w:hanging="1440"/>
      </w:pPr>
      <w:rPr/>
    </w:lvl>
    <w:lvl w:ilvl="8">
      <w:start w:val="1"/>
      <w:numFmt w:val="decimal"/>
      <w:lvlText w:val="%1.%2.%3.%4.%5.%6.%7.%8.%9."/>
      <w:lvlJc w:val="left"/>
      <w:pPr>
        <w:tabs>
          <w:tab w:val="num" w:pos="0"/>
        </w:tabs>
        <w:ind w:left="4656" w:hanging="1800"/>
      </w:pPr>
      <w:rPr/>
    </w:lvl>
  </w:abstractNum>
  <w:abstractNum w:abstractNumId="4">
    <w:lvl w:ilvl="0">
      <w:start w:val="1"/>
      <w:numFmt w:val="decimal"/>
      <w:lvlText w:val="%1."/>
      <w:lvlJc w:val="left"/>
      <w:pPr>
        <w:tabs>
          <w:tab w:val="num" w:pos="0"/>
        </w:tabs>
        <w:ind w:left="792" w:hanging="432"/>
      </w:pPr>
      <w:rPr>
        <w:u w:val="none"/>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6">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lvl w:ilvl="0">
      <w:start w:val="1"/>
      <w:numFmt w:val="decimal"/>
      <w:lvlText w:val="%1)"/>
      <w:lvlJc w:val="left"/>
      <w:pPr>
        <w:tabs>
          <w:tab w:val="num" w:pos="0"/>
        </w:tabs>
        <w:ind w:left="786" w:hanging="360"/>
      </w:pPr>
      <w:rPr>
        <w:color w:val="000000"/>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8">
    <w:lvl w:ilvl="0">
      <w:start w:val="1"/>
      <w:numFmt w:val="decimal"/>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9">
    <w:lvl w:ilvl="0">
      <w:start w:val="1"/>
      <w:numFmt w:val="lowerLetter"/>
      <w:lvlText w:val="%1)"/>
      <w:lvlJc w:val="left"/>
      <w:pPr>
        <w:tabs>
          <w:tab w:val="num" w:pos="0"/>
        </w:tabs>
        <w:ind w:left="1270" w:hanging="420"/>
      </w:pPr>
      <w:rPr>
        <w:color w:val="auto"/>
      </w:rPr>
    </w:lvl>
    <w:lvl w:ilvl="1">
      <w:start w:val="1"/>
      <w:numFmt w:val="lowerLetter"/>
      <w:lvlText w:val="%2)"/>
      <w:lvlJc w:val="left"/>
      <w:pPr>
        <w:tabs>
          <w:tab w:val="num" w:pos="0"/>
        </w:tabs>
        <w:ind w:left="1930" w:hanging="360"/>
      </w:pPr>
      <w:rPr/>
    </w:lvl>
    <w:lvl w:ilvl="2">
      <w:start w:val="1"/>
      <w:numFmt w:val="lowerRoman"/>
      <w:lvlText w:val="%3."/>
      <w:lvlJc w:val="right"/>
      <w:pPr>
        <w:tabs>
          <w:tab w:val="num" w:pos="0"/>
        </w:tabs>
        <w:ind w:left="2650" w:hanging="180"/>
      </w:pPr>
      <w:rPr/>
    </w:lvl>
    <w:lvl w:ilvl="3">
      <w:start w:val="1"/>
      <w:numFmt w:val="decimal"/>
      <w:lvlText w:val="%4."/>
      <w:lvlJc w:val="left"/>
      <w:pPr>
        <w:tabs>
          <w:tab w:val="num" w:pos="0"/>
        </w:tabs>
        <w:ind w:left="3370" w:hanging="360"/>
      </w:pPr>
      <w:rPr/>
    </w:lvl>
    <w:lvl w:ilvl="4">
      <w:start w:val="1"/>
      <w:numFmt w:val="lowerLetter"/>
      <w:lvlText w:val="%5."/>
      <w:lvlJc w:val="left"/>
      <w:pPr>
        <w:tabs>
          <w:tab w:val="num" w:pos="0"/>
        </w:tabs>
        <w:ind w:left="4090" w:hanging="360"/>
      </w:pPr>
      <w:rPr/>
    </w:lvl>
    <w:lvl w:ilvl="5">
      <w:start w:val="1"/>
      <w:numFmt w:val="lowerRoman"/>
      <w:lvlText w:val="%6."/>
      <w:lvlJc w:val="right"/>
      <w:pPr>
        <w:tabs>
          <w:tab w:val="num" w:pos="0"/>
        </w:tabs>
        <w:ind w:left="4810" w:hanging="180"/>
      </w:pPr>
      <w:rPr/>
    </w:lvl>
    <w:lvl w:ilvl="6">
      <w:start w:val="1"/>
      <w:numFmt w:val="decimal"/>
      <w:lvlText w:val="%7."/>
      <w:lvlJc w:val="left"/>
      <w:pPr>
        <w:tabs>
          <w:tab w:val="num" w:pos="0"/>
        </w:tabs>
        <w:ind w:left="5530" w:hanging="360"/>
      </w:pPr>
      <w:rPr/>
    </w:lvl>
    <w:lvl w:ilvl="7">
      <w:start w:val="1"/>
      <w:numFmt w:val="lowerLetter"/>
      <w:lvlText w:val="%8."/>
      <w:lvlJc w:val="left"/>
      <w:pPr>
        <w:tabs>
          <w:tab w:val="num" w:pos="0"/>
        </w:tabs>
        <w:ind w:left="6250" w:hanging="360"/>
      </w:pPr>
      <w:rPr/>
    </w:lvl>
    <w:lvl w:ilvl="8">
      <w:start w:val="1"/>
      <w:numFmt w:val="lowerRoman"/>
      <w:lvlText w:val="%9."/>
      <w:lvlJc w:val="right"/>
      <w:pPr>
        <w:tabs>
          <w:tab w:val="num" w:pos="0"/>
        </w:tabs>
        <w:ind w:left="6970" w:hanging="180"/>
      </w:pPr>
      <w:rPr/>
    </w:lvl>
  </w:abstractNum>
  <w:abstractNum w:abstractNumId="10">
    <w:lvl w:ilvl="0">
      <w:start w:val="1"/>
      <w:numFmt w:val="lowerLetter"/>
      <w:lvlText w:val="%1)"/>
      <w:lvlJc w:val="left"/>
      <w:pPr>
        <w:tabs>
          <w:tab w:val="num" w:pos="0"/>
        </w:tabs>
        <w:ind w:left="1470" w:hanging="624"/>
      </w:pPr>
      <w:rPr/>
    </w:lvl>
    <w:lvl w:ilvl="1">
      <w:start w:val="1"/>
      <w:numFmt w:val="lowerLetter"/>
      <w:lvlText w:val="%2."/>
      <w:lvlJc w:val="left"/>
      <w:pPr>
        <w:tabs>
          <w:tab w:val="num" w:pos="0"/>
        </w:tabs>
        <w:ind w:left="1926" w:hanging="360"/>
      </w:pPr>
      <w:rPr/>
    </w:lvl>
    <w:lvl w:ilvl="2">
      <w:start w:val="1"/>
      <w:numFmt w:val="lowerRoman"/>
      <w:lvlText w:val="%3."/>
      <w:lvlJc w:val="right"/>
      <w:pPr>
        <w:tabs>
          <w:tab w:val="num" w:pos="0"/>
        </w:tabs>
        <w:ind w:left="2646" w:hanging="180"/>
      </w:pPr>
      <w:rPr/>
    </w:lvl>
    <w:lvl w:ilvl="3">
      <w:start w:val="1"/>
      <w:numFmt w:val="decimal"/>
      <w:lvlText w:val="%4."/>
      <w:lvlJc w:val="left"/>
      <w:pPr>
        <w:tabs>
          <w:tab w:val="num" w:pos="0"/>
        </w:tabs>
        <w:ind w:left="3366" w:hanging="360"/>
      </w:pPr>
      <w:rPr/>
    </w:lvl>
    <w:lvl w:ilvl="4">
      <w:start w:val="1"/>
      <w:numFmt w:val="lowerLetter"/>
      <w:lvlText w:val="%5."/>
      <w:lvlJc w:val="left"/>
      <w:pPr>
        <w:tabs>
          <w:tab w:val="num" w:pos="0"/>
        </w:tabs>
        <w:ind w:left="4086" w:hanging="360"/>
      </w:pPr>
      <w:rPr/>
    </w:lvl>
    <w:lvl w:ilvl="5">
      <w:start w:val="1"/>
      <w:numFmt w:val="lowerRoman"/>
      <w:lvlText w:val="%6."/>
      <w:lvlJc w:val="right"/>
      <w:pPr>
        <w:tabs>
          <w:tab w:val="num" w:pos="0"/>
        </w:tabs>
        <w:ind w:left="4806" w:hanging="180"/>
      </w:pPr>
      <w:rPr/>
    </w:lvl>
    <w:lvl w:ilvl="6">
      <w:start w:val="1"/>
      <w:numFmt w:val="decimal"/>
      <w:lvlText w:val="%7."/>
      <w:lvlJc w:val="left"/>
      <w:pPr>
        <w:tabs>
          <w:tab w:val="num" w:pos="0"/>
        </w:tabs>
        <w:ind w:left="5526" w:hanging="360"/>
      </w:pPr>
      <w:rPr/>
    </w:lvl>
    <w:lvl w:ilvl="7">
      <w:start w:val="1"/>
      <w:numFmt w:val="lowerLetter"/>
      <w:lvlText w:val="%8."/>
      <w:lvlJc w:val="left"/>
      <w:pPr>
        <w:tabs>
          <w:tab w:val="num" w:pos="0"/>
        </w:tabs>
        <w:ind w:left="6246" w:hanging="360"/>
      </w:pPr>
      <w:rPr/>
    </w:lvl>
    <w:lvl w:ilvl="8">
      <w:start w:val="1"/>
      <w:numFmt w:val="lowerRoman"/>
      <w:lvlText w:val="%9."/>
      <w:lvlJc w:val="right"/>
      <w:pPr>
        <w:tabs>
          <w:tab w:val="num" w:pos="0"/>
        </w:tabs>
        <w:ind w:left="6966" w:hanging="180"/>
      </w:pPr>
      <w:rPr/>
    </w:lvl>
  </w:abstractNum>
  <w:abstractNum w:abstractNumId="11">
    <w:lvl w:ilvl="0">
      <w:start w:val="1"/>
      <w:numFmt w:val="lowerLetter"/>
      <w:lvlText w:val="%1)"/>
      <w:lvlJc w:val="left"/>
      <w:pPr>
        <w:tabs>
          <w:tab w:val="num" w:pos="0"/>
        </w:tabs>
        <w:ind w:left="1206" w:hanging="360"/>
      </w:pPr>
      <w:rPr>
        <w:color w:val="auto"/>
      </w:rPr>
    </w:lvl>
    <w:lvl w:ilvl="1">
      <w:start w:val="1"/>
      <w:numFmt w:val="lowerLetter"/>
      <w:lvlText w:val="%2."/>
      <w:lvlJc w:val="left"/>
      <w:pPr>
        <w:tabs>
          <w:tab w:val="num" w:pos="0"/>
        </w:tabs>
        <w:ind w:left="1926" w:hanging="360"/>
      </w:pPr>
      <w:rPr/>
    </w:lvl>
    <w:lvl w:ilvl="2">
      <w:start w:val="1"/>
      <w:numFmt w:val="lowerRoman"/>
      <w:lvlText w:val="%3."/>
      <w:lvlJc w:val="right"/>
      <w:pPr>
        <w:tabs>
          <w:tab w:val="num" w:pos="0"/>
        </w:tabs>
        <w:ind w:left="2646" w:hanging="180"/>
      </w:pPr>
      <w:rPr/>
    </w:lvl>
    <w:lvl w:ilvl="3">
      <w:start w:val="1"/>
      <w:numFmt w:val="decimal"/>
      <w:lvlText w:val="%4."/>
      <w:lvlJc w:val="left"/>
      <w:pPr>
        <w:tabs>
          <w:tab w:val="num" w:pos="0"/>
        </w:tabs>
        <w:ind w:left="3366" w:hanging="360"/>
      </w:pPr>
      <w:rPr/>
    </w:lvl>
    <w:lvl w:ilvl="4">
      <w:start w:val="1"/>
      <w:numFmt w:val="lowerLetter"/>
      <w:lvlText w:val="%5."/>
      <w:lvlJc w:val="left"/>
      <w:pPr>
        <w:tabs>
          <w:tab w:val="num" w:pos="0"/>
        </w:tabs>
        <w:ind w:left="4086" w:hanging="360"/>
      </w:pPr>
      <w:rPr/>
    </w:lvl>
    <w:lvl w:ilvl="5">
      <w:start w:val="1"/>
      <w:numFmt w:val="lowerRoman"/>
      <w:lvlText w:val="%6."/>
      <w:lvlJc w:val="right"/>
      <w:pPr>
        <w:tabs>
          <w:tab w:val="num" w:pos="0"/>
        </w:tabs>
        <w:ind w:left="4806" w:hanging="180"/>
      </w:pPr>
      <w:rPr/>
    </w:lvl>
    <w:lvl w:ilvl="6">
      <w:start w:val="1"/>
      <w:numFmt w:val="decimal"/>
      <w:lvlText w:val="%7."/>
      <w:lvlJc w:val="left"/>
      <w:pPr>
        <w:tabs>
          <w:tab w:val="num" w:pos="0"/>
        </w:tabs>
        <w:ind w:left="5526" w:hanging="360"/>
      </w:pPr>
      <w:rPr/>
    </w:lvl>
    <w:lvl w:ilvl="7">
      <w:start w:val="1"/>
      <w:numFmt w:val="lowerLetter"/>
      <w:lvlText w:val="%8."/>
      <w:lvlJc w:val="left"/>
      <w:pPr>
        <w:tabs>
          <w:tab w:val="num" w:pos="0"/>
        </w:tabs>
        <w:ind w:left="6246" w:hanging="360"/>
      </w:pPr>
      <w:rPr/>
    </w:lvl>
    <w:lvl w:ilvl="8">
      <w:start w:val="1"/>
      <w:numFmt w:val="lowerRoman"/>
      <w:lvlText w:val="%9."/>
      <w:lvlJc w:val="right"/>
      <w:pPr>
        <w:tabs>
          <w:tab w:val="num" w:pos="0"/>
        </w:tabs>
        <w:ind w:left="6966" w:hanging="180"/>
      </w:pPr>
      <w:rPr/>
    </w:lvl>
  </w:abstractNum>
  <w:abstractNum w:abstractNumId="1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3">
    <w:lvl w:ilvl="0">
      <w:start w:val="1"/>
      <w:numFmt w:val="bullet"/>
      <w:lvlText w:val=""/>
      <w:lvlJc w:val="left"/>
      <w:pPr>
        <w:tabs>
          <w:tab w:val="num" w:pos="0"/>
        </w:tabs>
        <w:ind w:left="1931" w:hanging="360"/>
      </w:pPr>
      <w:rPr>
        <w:rFonts w:ascii="Symbol" w:hAnsi="Symbol" w:cs="Symbol" w:hint="default"/>
      </w:rPr>
    </w:lvl>
    <w:lvl w:ilvl="1">
      <w:start w:val="1"/>
      <w:numFmt w:val="bullet"/>
      <w:lvlText w:val="o"/>
      <w:lvlJc w:val="left"/>
      <w:pPr>
        <w:tabs>
          <w:tab w:val="num" w:pos="0"/>
        </w:tabs>
        <w:ind w:left="2651" w:hanging="360"/>
      </w:pPr>
      <w:rPr>
        <w:rFonts w:ascii="Courier New" w:hAnsi="Courier New" w:cs="Courier New" w:hint="default"/>
      </w:rPr>
    </w:lvl>
    <w:lvl w:ilvl="2">
      <w:start w:val="1"/>
      <w:numFmt w:val="bullet"/>
      <w:lvlText w:val=""/>
      <w:lvlJc w:val="left"/>
      <w:pPr>
        <w:tabs>
          <w:tab w:val="num" w:pos="0"/>
        </w:tabs>
        <w:ind w:left="3371" w:hanging="360"/>
      </w:pPr>
      <w:rPr>
        <w:rFonts w:ascii="Wingdings" w:hAnsi="Wingdings" w:cs="Wingdings" w:hint="default"/>
      </w:rPr>
    </w:lvl>
    <w:lvl w:ilvl="3">
      <w:start w:val="1"/>
      <w:numFmt w:val="bullet"/>
      <w:lvlText w:val=""/>
      <w:lvlJc w:val="left"/>
      <w:pPr>
        <w:tabs>
          <w:tab w:val="num" w:pos="0"/>
        </w:tabs>
        <w:ind w:left="4091" w:hanging="360"/>
      </w:pPr>
      <w:rPr>
        <w:rFonts w:ascii="Symbol" w:hAnsi="Symbol" w:cs="Symbol" w:hint="default"/>
      </w:rPr>
    </w:lvl>
    <w:lvl w:ilvl="4">
      <w:start w:val="1"/>
      <w:numFmt w:val="bullet"/>
      <w:lvlText w:val="o"/>
      <w:lvlJc w:val="left"/>
      <w:pPr>
        <w:tabs>
          <w:tab w:val="num" w:pos="0"/>
        </w:tabs>
        <w:ind w:left="4811" w:hanging="360"/>
      </w:pPr>
      <w:rPr>
        <w:rFonts w:ascii="Courier New" w:hAnsi="Courier New" w:cs="Courier New" w:hint="default"/>
      </w:rPr>
    </w:lvl>
    <w:lvl w:ilvl="5">
      <w:start w:val="1"/>
      <w:numFmt w:val="bullet"/>
      <w:lvlText w:val=""/>
      <w:lvlJc w:val="left"/>
      <w:pPr>
        <w:tabs>
          <w:tab w:val="num" w:pos="0"/>
        </w:tabs>
        <w:ind w:left="5531" w:hanging="360"/>
      </w:pPr>
      <w:rPr>
        <w:rFonts w:ascii="Wingdings" w:hAnsi="Wingdings" w:cs="Wingdings" w:hint="default"/>
      </w:rPr>
    </w:lvl>
    <w:lvl w:ilvl="6">
      <w:start w:val="1"/>
      <w:numFmt w:val="bullet"/>
      <w:lvlText w:val=""/>
      <w:lvlJc w:val="left"/>
      <w:pPr>
        <w:tabs>
          <w:tab w:val="num" w:pos="0"/>
        </w:tabs>
        <w:ind w:left="6251" w:hanging="360"/>
      </w:pPr>
      <w:rPr>
        <w:rFonts w:ascii="Symbol" w:hAnsi="Symbol" w:cs="Symbol" w:hint="default"/>
      </w:rPr>
    </w:lvl>
    <w:lvl w:ilvl="7">
      <w:start w:val="1"/>
      <w:numFmt w:val="bullet"/>
      <w:lvlText w:val="o"/>
      <w:lvlJc w:val="left"/>
      <w:pPr>
        <w:tabs>
          <w:tab w:val="num" w:pos="0"/>
        </w:tabs>
        <w:ind w:left="6971" w:hanging="360"/>
      </w:pPr>
      <w:rPr>
        <w:rFonts w:ascii="Courier New" w:hAnsi="Courier New" w:cs="Courier New" w:hint="default"/>
      </w:rPr>
    </w:lvl>
    <w:lvl w:ilvl="8">
      <w:start w:val="1"/>
      <w:numFmt w:val="bullet"/>
      <w:lvlText w:val=""/>
      <w:lvlJc w:val="left"/>
      <w:pPr>
        <w:tabs>
          <w:tab w:val="num" w:pos="0"/>
        </w:tabs>
        <w:ind w:left="7691" w:hanging="360"/>
      </w:pPr>
      <w:rPr>
        <w:rFonts w:ascii="Wingdings" w:hAnsi="Wingdings" w:cs="Wingdings" w:hint="default"/>
      </w:rPr>
    </w:lvl>
  </w:abstractNum>
  <w:abstractNum w:abstractNumId="14">
    <w:lvl w:ilvl="0">
      <w:start w:val="1"/>
      <w:numFmt w:val="bullet"/>
      <w:lvlText w:val=""/>
      <w:lvlJc w:val="left"/>
      <w:pPr>
        <w:tabs>
          <w:tab w:val="num" w:pos="0"/>
        </w:tabs>
        <w:ind w:left="1920" w:hanging="360"/>
      </w:pPr>
      <w:rPr>
        <w:rFonts w:ascii="Symbol" w:hAnsi="Symbol" w:cs="Symbol" w:hint="default"/>
      </w:rPr>
    </w:lvl>
    <w:lvl w:ilvl="1">
      <w:start w:val="1"/>
      <w:numFmt w:val="bullet"/>
      <w:lvlText w:val="o"/>
      <w:lvlJc w:val="left"/>
      <w:pPr>
        <w:tabs>
          <w:tab w:val="num" w:pos="0"/>
        </w:tabs>
        <w:ind w:left="2640" w:hanging="360"/>
      </w:pPr>
      <w:rPr>
        <w:rFonts w:ascii="Courier New" w:hAnsi="Courier New" w:cs="Courier New" w:hint="default"/>
      </w:rPr>
    </w:lvl>
    <w:lvl w:ilvl="2">
      <w:start w:val="1"/>
      <w:numFmt w:val="bullet"/>
      <w:lvlText w:val=""/>
      <w:lvlJc w:val="left"/>
      <w:pPr>
        <w:tabs>
          <w:tab w:val="num" w:pos="0"/>
        </w:tabs>
        <w:ind w:left="3360" w:hanging="360"/>
      </w:pPr>
      <w:rPr>
        <w:rFonts w:ascii="Wingdings" w:hAnsi="Wingdings" w:cs="Wingdings" w:hint="default"/>
      </w:rPr>
    </w:lvl>
    <w:lvl w:ilvl="3">
      <w:start w:val="1"/>
      <w:numFmt w:val="bullet"/>
      <w:lvlText w:val=""/>
      <w:lvlJc w:val="left"/>
      <w:pPr>
        <w:tabs>
          <w:tab w:val="num" w:pos="0"/>
        </w:tabs>
        <w:ind w:left="4080" w:hanging="360"/>
      </w:pPr>
      <w:rPr>
        <w:rFonts w:ascii="Symbol" w:hAnsi="Symbol" w:cs="Symbol" w:hint="default"/>
      </w:rPr>
    </w:lvl>
    <w:lvl w:ilvl="4">
      <w:start w:val="1"/>
      <w:numFmt w:val="bullet"/>
      <w:lvlText w:val="o"/>
      <w:lvlJc w:val="left"/>
      <w:pPr>
        <w:tabs>
          <w:tab w:val="num" w:pos="0"/>
        </w:tabs>
        <w:ind w:left="4800" w:hanging="360"/>
      </w:pPr>
      <w:rPr>
        <w:rFonts w:ascii="Courier New" w:hAnsi="Courier New" w:cs="Courier New" w:hint="default"/>
      </w:rPr>
    </w:lvl>
    <w:lvl w:ilvl="5">
      <w:start w:val="1"/>
      <w:numFmt w:val="bullet"/>
      <w:lvlText w:val=""/>
      <w:lvlJc w:val="left"/>
      <w:pPr>
        <w:tabs>
          <w:tab w:val="num" w:pos="0"/>
        </w:tabs>
        <w:ind w:left="5520" w:hanging="360"/>
      </w:pPr>
      <w:rPr>
        <w:rFonts w:ascii="Wingdings" w:hAnsi="Wingdings" w:cs="Wingdings" w:hint="default"/>
      </w:rPr>
    </w:lvl>
    <w:lvl w:ilvl="6">
      <w:start w:val="1"/>
      <w:numFmt w:val="bullet"/>
      <w:lvlText w:val=""/>
      <w:lvlJc w:val="left"/>
      <w:pPr>
        <w:tabs>
          <w:tab w:val="num" w:pos="0"/>
        </w:tabs>
        <w:ind w:left="6240" w:hanging="360"/>
      </w:pPr>
      <w:rPr>
        <w:rFonts w:ascii="Symbol" w:hAnsi="Symbol" w:cs="Symbol" w:hint="default"/>
      </w:rPr>
    </w:lvl>
    <w:lvl w:ilvl="7">
      <w:start w:val="1"/>
      <w:numFmt w:val="bullet"/>
      <w:lvlText w:val="o"/>
      <w:lvlJc w:val="left"/>
      <w:pPr>
        <w:tabs>
          <w:tab w:val="num" w:pos="0"/>
        </w:tabs>
        <w:ind w:left="6960" w:hanging="360"/>
      </w:pPr>
      <w:rPr>
        <w:rFonts w:ascii="Courier New" w:hAnsi="Courier New" w:cs="Courier New" w:hint="default"/>
      </w:rPr>
    </w:lvl>
    <w:lvl w:ilvl="8">
      <w:start w:val="1"/>
      <w:numFmt w:val="bullet"/>
      <w:lvlText w:val=""/>
      <w:lvlJc w:val="left"/>
      <w:pPr>
        <w:tabs>
          <w:tab w:val="num" w:pos="0"/>
        </w:tabs>
        <w:ind w:left="7680" w:hanging="360"/>
      </w:pPr>
      <w:rPr>
        <w:rFonts w:ascii="Wingdings" w:hAnsi="Wingdings" w:cs="Wingdings" w:hint="default"/>
      </w:rPr>
    </w:lvl>
  </w:abstractNum>
  <w:abstractNum w:abstractNumId="15">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6">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7">
    <w:lvl w:ilvl="0">
      <w:start w:val="1"/>
      <w:numFmt w:val="decimal"/>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18">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19">
    <w:lvl w:ilvl="0">
      <w:start w:val="1"/>
      <w:numFmt w:val="lowerLetter"/>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0">
    <w:lvl w:ilvl="0">
      <w:start w:val="1"/>
      <w:numFmt w:val="lowerLetter"/>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1">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2">
    <w:lvl w:ilvl="0">
      <w:start w:val="1"/>
      <w:numFmt w:val="upperLetter"/>
      <w:lvlText w:val="%1."/>
      <w:lvlJc w:val="left"/>
      <w:pPr>
        <w:tabs>
          <w:tab w:val="num" w:pos="0"/>
        </w:tabs>
        <w:ind w:left="786" w:hanging="360"/>
      </w:pPr>
      <w:rPr>
        <w:b/>
        <w:color w:val="auto"/>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3">
    <w:lvl w:ilvl="0">
      <w:start w:val="1"/>
      <w:numFmt w:val="decimal"/>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24">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5">
    <w:lvl w:ilvl="0">
      <w:start w:val="1"/>
      <w:numFmt w:val="lowerLetter"/>
      <w:lvlText w:val="%1)"/>
      <w:lvlJc w:val="left"/>
      <w:pPr>
        <w:tabs>
          <w:tab w:val="num" w:pos="0"/>
        </w:tabs>
        <w:ind w:left="1146" w:hanging="360"/>
      </w:pPr>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6">
    <w:lvl w:ilvl="0">
      <w:start w:val="1"/>
      <w:numFmt w:val="lowerLetter"/>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7">
    <w:lvl w:ilvl="0">
      <w:start w:val="1"/>
      <w:numFmt w:val="lowerLetter"/>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28">
    <w:lvl w:ilvl="0">
      <w:start w:val="1"/>
      <w:numFmt w:val="decimal"/>
      <w:lvlText w:val="%1."/>
      <w:lvlJc w:val="left"/>
      <w:pPr>
        <w:tabs>
          <w:tab w:val="num" w:pos="0"/>
        </w:tabs>
        <w:ind w:left="786" w:hanging="360"/>
      </w:pPr>
      <w:rPr/>
    </w:lvl>
    <w:lvl w:ilvl="1">
      <w:start w:val="1"/>
      <w:numFmt w:val="decimal"/>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9">
    <w:lvl w:ilvl="0">
      <w:start w:val="1"/>
      <w:numFmt w:val="lowerLetter"/>
      <w:lvlText w:val="%1)"/>
      <w:lvlJc w:val="left"/>
      <w:pPr>
        <w:tabs>
          <w:tab w:val="num" w:pos="0"/>
        </w:tabs>
        <w:ind w:left="1506" w:hanging="360"/>
      </w:pPr>
      <w:rPr/>
    </w:lvl>
    <w:lvl w:ilvl="1">
      <w:start w:val="1"/>
      <w:numFmt w:val="lowerLetter"/>
      <w:lvlText w:val="%2)"/>
      <w:lvlJc w:val="left"/>
      <w:pPr>
        <w:tabs>
          <w:tab w:val="num" w:pos="0"/>
        </w:tabs>
        <w:ind w:left="2226" w:hanging="360"/>
      </w:pPr>
      <w:rPr/>
    </w:lvl>
    <w:lvl w:ilvl="2">
      <w:start w:val="1"/>
      <w:numFmt w:val="lowerRoman"/>
      <w:lvlText w:val="%3."/>
      <w:lvlJc w:val="right"/>
      <w:pPr>
        <w:tabs>
          <w:tab w:val="num" w:pos="0"/>
        </w:tabs>
        <w:ind w:left="2946" w:hanging="180"/>
      </w:pPr>
      <w:rPr/>
    </w:lvl>
    <w:lvl w:ilvl="3">
      <w:start w:val="1"/>
      <w:numFmt w:val="decimal"/>
      <w:lvlText w:val="%4."/>
      <w:lvlJc w:val="left"/>
      <w:pPr>
        <w:tabs>
          <w:tab w:val="num" w:pos="0"/>
        </w:tabs>
        <w:ind w:left="3666" w:hanging="360"/>
      </w:pPr>
      <w:rPr/>
    </w:lvl>
    <w:lvl w:ilvl="4">
      <w:start w:val="1"/>
      <w:numFmt w:val="lowerLetter"/>
      <w:lvlText w:val="%5."/>
      <w:lvlJc w:val="left"/>
      <w:pPr>
        <w:tabs>
          <w:tab w:val="num" w:pos="0"/>
        </w:tabs>
        <w:ind w:left="4386" w:hanging="360"/>
      </w:pPr>
      <w:rPr/>
    </w:lvl>
    <w:lvl w:ilvl="5">
      <w:start w:val="1"/>
      <w:numFmt w:val="lowerRoman"/>
      <w:lvlText w:val="%6."/>
      <w:lvlJc w:val="right"/>
      <w:pPr>
        <w:tabs>
          <w:tab w:val="num" w:pos="0"/>
        </w:tabs>
        <w:ind w:left="5106" w:hanging="180"/>
      </w:pPr>
      <w:rPr/>
    </w:lvl>
    <w:lvl w:ilvl="6">
      <w:start w:val="1"/>
      <w:numFmt w:val="decimal"/>
      <w:lvlText w:val="%7."/>
      <w:lvlJc w:val="left"/>
      <w:pPr>
        <w:tabs>
          <w:tab w:val="num" w:pos="0"/>
        </w:tabs>
        <w:ind w:left="5826" w:hanging="360"/>
      </w:pPr>
      <w:rPr/>
    </w:lvl>
    <w:lvl w:ilvl="7">
      <w:start w:val="1"/>
      <w:numFmt w:val="lowerLetter"/>
      <w:lvlText w:val="%8."/>
      <w:lvlJc w:val="left"/>
      <w:pPr>
        <w:tabs>
          <w:tab w:val="num" w:pos="0"/>
        </w:tabs>
        <w:ind w:left="6546" w:hanging="360"/>
      </w:pPr>
      <w:rPr/>
    </w:lvl>
    <w:lvl w:ilvl="8">
      <w:start w:val="1"/>
      <w:numFmt w:val="lowerRoman"/>
      <w:lvlText w:val="%9."/>
      <w:lvlJc w:val="right"/>
      <w:pPr>
        <w:tabs>
          <w:tab w:val="num" w:pos="0"/>
        </w:tabs>
        <w:ind w:left="7266" w:hanging="180"/>
      </w:pPr>
      <w:rPr/>
    </w:lvl>
  </w:abstractNum>
  <w:abstractNum w:abstractNumId="30">
    <w:lvl w:ilvl="0">
      <w:start w:val="1"/>
      <w:numFmt w:val="lowerLetter"/>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31">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2">
    <w:lvl w:ilvl="0">
      <w:start w:val="1"/>
      <w:numFmt w:val="decimal"/>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33">
    <w:lvl w:ilvl="0">
      <w:start w:val="1"/>
      <w:numFmt w:val="decimal"/>
      <w:lvlText w:val="%1."/>
      <w:lvlJc w:val="left"/>
      <w:pPr>
        <w:tabs>
          <w:tab w:val="num" w:pos="0"/>
        </w:tabs>
        <w:ind w:left="846" w:hanging="42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3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2463b"/>
    <w:pPr>
      <w:widowControl/>
      <w:suppressAutoHyphens w:val="true"/>
      <w:bidi w:val="0"/>
      <w:spacing w:lineRule="auto" w:line="264" w:before="0" w:after="57"/>
      <w:ind w:hanging="10" w:left="20"/>
      <w:jc w:val="both"/>
    </w:pPr>
    <w:rPr>
      <w:rFonts w:ascii="Calibri" w:hAnsi="Calibri" w:eastAsia="Calibri" w:cs="Calibri"/>
      <w:color w:val="000000"/>
      <w:kern w:val="0"/>
      <w:sz w:val="20"/>
      <w:szCs w:val="22"/>
      <w:lang w:val="pl-PL" w:eastAsia="pl-PL" w:bidi="ar-SA"/>
    </w:rPr>
  </w:style>
  <w:style w:type="paragraph" w:styleId="Heading1">
    <w:name w:val="Heading 1"/>
    <w:next w:val="Normal"/>
    <w:link w:val="Nagwek1Znak"/>
    <w:uiPriority w:val="9"/>
    <w:qFormat/>
    <w:pPr>
      <w:keepNext w:val="true"/>
      <w:keepLines/>
      <w:widowControl/>
      <w:suppressAutoHyphens w:val="true"/>
      <w:bidi w:val="0"/>
      <w:spacing w:lineRule="auto" w:line="259" w:before="0" w:after="0"/>
      <w:ind w:right="32"/>
      <w:jc w:val="center"/>
      <w:outlineLvl w:val="0"/>
    </w:pPr>
    <w:rPr>
      <w:rFonts w:ascii="Calibri" w:hAnsi="Calibri" w:eastAsia="Calibri" w:cs="Calibri"/>
      <w:b/>
      <w:color w:val="000000"/>
      <w:kern w:val="0"/>
      <w:sz w:val="40"/>
      <w:szCs w:val="22"/>
      <w:lang w:val="pl-PL" w:eastAsia="pl-PL" w:bidi="ar-SA"/>
    </w:rPr>
  </w:style>
  <w:style w:type="paragraph" w:styleId="Heading2">
    <w:name w:val="Heading 2"/>
    <w:next w:val="Normal"/>
    <w:link w:val="Nagwek2Znak"/>
    <w:uiPriority w:val="9"/>
    <w:unhideWhenUsed/>
    <w:qFormat/>
    <w:pPr>
      <w:keepNext w:val="true"/>
      <w:keepLines/>
      <w:widowControl/>
      <w:suppressAutoHyphens w:val="true"/>
      <w:bidi w:val="0"/>
      <w:spacing w:lineRule="auto" w:line="259" w:before="0" w:after="68"/>
      <w:ind w:left="578"/>
      <w:jc w:val="left"/>
      <w:outlineLvl w:val="1"/>
    </w:pPr>
    <w:rPr>
      <w:rFonts w:ascii="Calibri" w:hAnsi="Calibri" w:eastAsia="Calibri" w:cs="Calibri"/>
      <w:b/>
      <w:color w:val="000000"/>
      <w:kern w:val="0"/>
      <w:sz w:val="20"/>
      <w:szCs w:val="22"/>
      <w:shd w:fill="00FFFF" w:val="clear"/>
      <w:lang w:val="pl-PL" w:eastAsia="pl-PL" w:bidi="ar-SA"/>
    </w:rPr>
  </w:style>
  <w:style w:type="paragraph" w:styleId="Heading3">
    <w:name w:val="Heading 3"/>
    <w:basedOn w:val="Normal"/>
    <w:next w:val="Normal"/>
    <w:link w:val="Nagwek3Znak"/>
    <w:uiPriority w:val="9"/>
    <w:semiHidden/>
    <w:unhideWhenUsed/>
    <w:qFormat/>
    <w:rsid w:val="00c9659b"/>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3763"/>
      <w:sz w:val="24"/>
      <w:szCs w:val="24"/>
    </w:rPr>
  </w:style>
  <w:style w:type="paragraph" w:styleId="Heading4">
    <w:name w:val="Heading 4"/>
    <w:basedOn w:val="Normal"/>
    <w:next w:val="Normal"/>
    <w:link w:val="Nagwek4Znak"/>
    <w:uiPriority w:val="9"/>
    <w:semiHidden/>
    <w:unhideWhenUsed/>
    <w:qFormat/>
    <w:rsid w:val="00c9659b"/>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F5496"/>
    </w:rPr>
  </w:style>
  <w:style w:type="character" w:styleId="DefaultParagraphFont" w:default="1">
    <w:name w:val="Default Paragraph Font"/>
    <w:uiPriority w:val="1"/>
    <w:semiHidden/>
    <w:unhideWhenUsed/>
    <w:qFormat/>
    <w:rPr/>
  </w:style>
  <w:style w:type="character" w:styleId="Nagwek2Znak" w:customStyle="1">
    <w:name w:val="Nagłówek 2 Znak"/>
    <w:qFormat/>
    <w:rPr>
      <w:rFonts w:ascii="Calibri" w:hAnsi="Calibri" w:eastAsia="Calibri" w:cs="Calibri"/>
      <w:b/>
      <w:color w:val="000000"/>
      <w:sz w:val="20"/>
      <w:shd w:fill="00FFFF" w:val="clear"/>
    </w:rPr>
  </w:style>
  <w:style w:type="character" w:styleId="Nagwek1Znak" w:customStyle="1">
    <w:name w:val="Nagłówek 1 Znak"/>
    <w:uiPriority w:val="9"/>
    <w:qFormat/>
    <w:rPr>
      <w:rFonts w:ascii="Calibri" w:hAnsi="Calibri" w:eastAsia="Calibri" w:cs="Calibri"/>
      <w:b/>
      <w:color w:val="000000"/>
      <w:sz w:val="40"/>
    </w:rPr>
  </w:style>
  <w:style w:type="character" w:styleId="Annotationreference">
    <w:name w:val="annotation reference"/>
    <w:basedOn w:val="DefaultParagraphFont"/>
    <w:uiPriority w:val="99"/>
    <w:semiHidden/>
    <w:unhideWhenUsed/>
    <w:qFormat/>
    <w:rsid w:val="00e470e9"/>
    <w:rPr>
      <w:sz w:val="16"/>
      <w:szCs w:val="16"/>
    </w:rPr>
  </w:style>
  <w:style w:type="character" w:styleId="TekstkomentarzaZnak" w:customStyle="1">
    <w:name w:val="Tekst komentarza Znak"/>
    <w:basedOn w:val="DefaultParagraphFont"/>
    <w:link w:val="Annotationtext"/>
    <w:uiPriority w:val="99"/>
    <w:qFormat/>
    <w:rsid w:val="00e470e9"/>
    <w:rPr>
      <w:rFonts w:ascii="Calibri" w:hAnsi="Calibri" w:eastAsia="Calibri" w:cs="Calibri"/>
      <w:color w:val="000000"/>
      <w:sz w:val="20"/>
      <w:szCs w:val="20"/>
    </w:rPr>
  </w:style>
  <w:style w:type="character" w:styleId="TematkomentarzaZnak" w:customStyle="1">
    <w:name w:val="Temat komentarza Znak"/>
    <w:basedOn w:val="TekstkomentarzaZnak"/>
    <w:link w:val="Annotationsubject"/>
    <w:uiPriority w:val="99"/>
    <w:semiHidden/>
    <w:qFormat/>
    <w:rsid w:val="00e470e9"/>
    <w:rPr>
      <w:rFonts w:ascii="Calibri" w:hAnsi="Calibri" w:eastAsia="Calibri" w:cs="Calibri"/>
      <w:b/>
      <w:bCs/>
      <w:color w:val="000000"/>
      <w:sz w:val="20"/>
      <w:szCs w:val="20"/>
    </w:rPr>
  </w:style>
  <w:style w:type="character" w:styleId="Hyperlink">
    <w:name w:val="Hyperlink"/>
    <w:basedOn w:val="DefaultParagraphFont"/>
    <w:uiPriority w:val="99"/>
    <w:unhideWhenUsed/>
    <w:rsid w:val="00bf19bf"/>
    <w:rPr>
      <w:color w:themeColor="hyperlink" w:val="0563C1"/>
      <w:u w:val="single"/>
    </w:rPr>
  </w:style>
  <w:style w:type="character" w:styleId="Nierozpoznanawzmianka1" w:customStyle="1">
    <w:name w:val="Nierozpoznana wzmianka1"/>
    <w:basedOn w:val="DefaultParagraphFont"/>
    <w:uiPriority w:val="99"/>
    <w:semiHidden/>
    <w:unhideWhenUsed/>
    <w:qFormat/>
    <w:rsid w:val="00d86a32"/>
    <w:rPr>
      <w:color w:val="605E5C"/>
      <w:shd w:fill="E1DFDD" w:val="clear"/>
    </w:rPr>
  </w:style>
  <w:style w:type="character" w:styleId="TekstdymkaZnak" w:customStyle="1">
    <w:name w:val="Tekst dymka Znak"/>
    <w:basedOn w:val="DefaultParagraphFont"/>
    <w:link w:val="BalloonText"/>
    <w:uiPriority w:val="99"/>
    <w:semiHidden/>
    <w:qFormat/>
    <w:rsid w:val="00f468ed"/>
    <w:rPr>
      <w:rFonts w:ascii="Segoe UI" w:hAnsi="Segoe UI" w:eastAsia="Calibri" w:cs="Segoe UI"/>
      <w:color w:val="000000"/>
      <w:sz w:val="18"/>
      <w:szCs w:val="18"/>
    </w:rPr>
  </w:style>
  <w:style w:type="character" w:styleId="UnresolvedMention">
    <w:name w:val="Unresolved Mention"/>
    <w:basedOn w:val="DefaultParagraphFont"/>
    <w:uiPriority w:val="99"/>
    <w:semiHidden/>
    <w:unhideWhenUsed/>
    <w:qFormat/>
    <w:rsid w:val="00bf19bf"/>
    <w:rPr>
      <w:color w:val="605E5C"/>
      <w:shd w:fill="E1DFDD" w:val="clear"/>
    </w:rPr>
  </w:style>
  <w:style w:type="character" w:styleId="AkapitzlistZnak" w:customStyle="1">
    <w:name w:val="Akapit z listą Znak"/>
    <w:link w:val="ListParagraph"/>
    <w:uiPriority w:val="34"/>
    <w:qFormat/>
    <w:locked/>
    <w:rsid w:val="006415bb"/>
    <w:rPr>
      <w:rFonts w:ascii="Calibri" w:hAnsi="Calibri" w:eastAsia="Calibri" w:cs="Calibri"/>
      <w:color w:val="000000"/>
      <w:sz w:val="20"/>
    </w:rPr>
  </w:style>
  <w:style w:type="character" w:styleId="Nagwek3Znak" w:customStyle="1">
    <w:name w:val="Nagłówek 3 Znak"/>
    <w:basedOn w:val="DefaultParagraphFont"/>
    <w:uiPriority w:val="9"/>
    <w:semiHidden/>
    <w:qFormat/>
    <w:rsid w:val="00c9659b"/>
    <w:rPr>
      <w:rFonts w:ascii="Calibri Light" w:hAnsi="Calibri Light" w:eastAsia="" w:cs="" w:asciiTheme="majorHAnsi" w:cstheme="majorBidi" w:eastAsiaTheme="majorEastAsia" w:hAnsiTheme="majorHAnsi"/>
      <w:color w:themeColor="accent1" w:themeShade="7f" w:val="1F3763"/>
      <w:sz w:val="24"/>
      <w:szCs w:val="24"/>
    </w:rPr>
  </w:style>
  <w:style w:type="character" w:styleId="Nagwek4Znak" w:customStyle="1">
    <w:name w:val="Nagłówek 4 Znak"/>
    <w:basedOn w:val="DefaultParagraphFont"/>
    <w:uiPriority w:val="9"/>
    <w:semiHidden/>
    <w:qFormat/>
    <w:rsid w:val="00c9659b"/>
    <w:rPr>
      <w:rFonts w:ascii="Calibri Light" w:hAnsi="Calibri Light" w:eastAsia="" w:cs="" w:asciiTheme="majorHAnsi" w:cstheme="majorBidi" w:eastAsiaTheme="majorEastAsia" w:hAnsiTheme="majorHAnsi"/>
      <w:i/>
      <w:iCs/>
      <w:color w:themeColor="accent1" w:themeShade="bf" w:val="2F5496"/>
      <w:sz w:val="20"/>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rPr/>
  </w:style>
  <w:style w:type="paragraph" w:styleId="Header">
    <w:name w:val="Header"/>
    <w:basedOn w:val="Gwkaistopka"/>
    <w:next w:val="BodyText"/>
    <w:pPr/>
    <w:rPr/>
  </w:style>
  <w:style w:type="paragraph" w:styleId="Caption1">
    <w:name w:val="caption1"/>
    <w:basedOn w:val="Normal"/>
    <w:qFormat/>
    <w:pPr>
      <w:suppressLineNumbers/>
      <w:spacing w:before="120" w:after="120"/>
    </w:pPr>
    <w:rPr>
      <w:rFonts w:cs="Arial"/>
      <w:i/>
      <w:iCs/>
      <w:sz w:val="24"/>
      <w:szCs w:val="24"/>
    </w:rPr>
  </w:style>
  <w:style w:type="paragraph" w:styleId="Caption11" w:customStyle="1">
    <w:name w:val="caption11"/>
    <w:basedOn w:val="Normal"/>
    <w:qFormat/>
    <w:pPr>
      <w:suppressLineNumbers/>
      <w:spacing w:before="120" w:after="120"/>
    </w:pPr>
    <w:rPr>
      <w:rFonts w:cs="Arial"/>
      <w:i/>
      <w:iCs/>
      <w:sz w:val="24"/>
      <w:szCs w:val="24"/>
    </w:rPr>
  </w:style>
  <w:style w:type="paragraph" w:styleId="Caption111" w:customStyle="1">
    <w:name w:val="caption111"/>
    <w:basedOn w:val="Normal"/>
    <w:qFormat/>
    <w:pPr>
      <w:suppressLineNumbers/>
      <w:spacing w:before="120" w:after="120"/>
    </w:pPr>
    <w:rPr>
      <w:rFonts w:cs="Mangal"/>
      <w:i/>
      <w:iCs/>
      <w:sz w:val="24"/>
      <w:szCs w:val="24"/>
    </w:rPr>
  </w:style>
  <w:style w:type="paragraph" w:styleId="Annotationtext">
    <w:name w:val="annotation text"/>
    <w:basedOn w:val="Normal"/>
    <w:link w:val="TekstkomentarzaZnak"/>
    <w:uiPriority w:val="99"/>
    <w:unhideWhenUsed/>
    <w:qFormat/>
    <w:rsid w:val="00e470e9"/>
    <w:pPr>
      <w:spacing w:lineRule="auto" w:line="240"/>
    </w:pPr>
    <w:rPr>
      <w:szCs w:val="20"/>
    </w:rPr>
  </w:style>
  <w:style w:type="paragraph" w:styleId="Annotationsubject">
    <w:name w:val="annotation subject"/>
    <w:basedOn w:val="Annotationtext"/>
    <w:next w:val="Annotationtext"/>
    <w:link w:val="TematkomentarzaZnak"/>
    <w:uiPriority w:val="99"/>
    <w:semiHidden/>
    <w:unhideWhenUsed/>
    <w:qFormat/>
    <w:rsid w:val="00e470e9"/>
    <w:pPr/>
    <w:rPr>
      <w:b/>
      <w:bCs/>
    </w:rPr>
  </w:style>
  <w:style w:type="paragraph" w:styleId="ListParagraph">
    <w:name w:val="List Paragraph"/>
    <w:basedOn w:val="Normal"/>
    <w:link w:val="AkapitzlistZnak"/>
    <w:uiPriority w:val="34"/>
    <w:qFormat/>
    <w:rsid w:val="00a16416"/>
    <w:pPr>
      <w:spacing w:before="0" w:after="57"/>
      <w:ind w:left="720"/>
      <w:contextualSpacing/>
    </w:pPr>
    <w:rPr/>
  </w:style>
  <w:style w:type="paragraph" w:styleId="NoSpacing">
    <w:name w:val="No Spacing"/>
    <w:uiPriority w:val="1"/>
    <w:qFormat/>
    <w:rsid w:val="00ff4abe"/>
    <w:pPr>
      <w:widowControl/>
      <w:suppressAutoHyphens w:val="true"/>
      <w:bidi w:val="0"/>
      <w:spacing w:before="0" w:after="0"/>
      <w:ind w:hanging="10" w:left="20"/>
      <w:jc w:val="both"/>
    </w:pPr>
    <w:rPr>
      <w:rFonts w:ascii="Calibri" w:hAnsi="Calibri" w:eastAsia="Calibri" w:cs="Calibri"/>
      <w:color w:val="000000"/>
      <w:kern w:val="0"/>
      <w:sz w:val="20"/>
      <w:szCs w:val="22"/>
      <w:lang w:val="pl-PL" w:eastAsia="pl-PL" w:bidi="ar-SA"/>
    </w:rPr>
  </w:style>
  <w:style w:type="paragraph" w:styleId="Footer">
    <w:name w:val="Footer"/>
    <w:basedOn w:val="Gwkaistopka"/>
    <w:pPr/>
    <w:rPr/>
  </w:style>
  <w:style w:type="paragraph" w:styleId="Zawartoramki" w:customStyle="1">
    <w:name w:val="Zawartość ramki"/>
    <w:basedOn w:val="Normal"/>
    <w:qFormat/>
    <w:pPr/>
    <w:rPr/>
  </w:style>
  <w:style w:type="paragraph" w:styleId="BalloonText">
    <w:name w:val="Balloon Text"/>
    <w:basedOn w:val="Normal"/>
    <w:link w:val="TekstdymkaZnak"/>
    <w:uiPriority w:val="99"/>
    <w:semiHidden/>
    <w:unhideWhenUsed/>
    <w:qFormat/>
    <w:rsid w:val="00f468ed"/>
    <w:pPr>
      <w:spacing w:lineRule="auto" w:line="240" w:before="0" w:after="0"/>
    </w:pPr>
    <w:rPr>
      <w:rFonts w:ascii="Segoe UI" w:hAnsi="Segoe UI" w:cs="Segoe UI"/>
      <w:sz w:val="18"/>
      <w:szCs w:val="18"/>
    </w:rPr>
  </w:style>
  <w:style w:type="paragraph" w:styleId="Default" w:customStyle="1">
    <w:name w:val="Default"/>
    <w:qFormat/>
    <w:rsid w:val="00fb0cac"/>
    <w:pPr>
      <w:widowControl/>
      <w:suppressAutoHyphens w:val="false"/>
      <w:bidi w:val="0"/>
      <w:spacing w:before="0" w:after="0"/>
      <w:jc w:val="left"/>
    </w:pPr>
    <w:rPr>
      <w:rFonts w:ascii="Times New Roman" w:hAnsi="Times New Roman" w:cs="Times New Roman" w:eastAsia=""/>
      <w:color w:val="000000"/>
      <w:kern w:val="0"/>
      <w:sz w:val="24"/>
      <w:szCs w:val="24"/>
      <w:lang w:val="pl-PL" w:eastAsia="pl-PL" w:bidi="ar-SA"/>
    </w:rPr>
  </w:style>
  <w:style w:type="paragraph" w:styleId="Revision">
    <w:name w:val="Revision"/>
    <w:uiPriority w:val="99"/>
    <w:semiHidden/>
    <w:qFormat/>
    <w:rsid w:val="002a316c"/>
    <w:pPr>
      <w:widowControl/>
      <w:suppressAutoHyphens w:val="false"/>
      <w:bidi w:val="0"/>
      <w:spacing w:before="0" w:after="0"/>
      <w:jc w:val="left"/>
    </w:pPr>
    <w:rPr>
      <w:rFonts w:ascii="Calibri" w:hAnsi="Calibri" w:eastAsia="Calibri" w:cs="Calibri"/>
      <w:color w:val="000000"/>
      <w:kern w:val="0"/>
      <w:sz w:val="20"/>
      <w:szCs w:val="22"/>
      <w:lang w:val="pl-PL" w:eastAsia="pl-PL"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Grid">
    <w:name w:val="TableGrid"/>
    <w:tblPr>
      <w:tblCellMar>
        <w:top w:w="0" w:type="dxa"/>
        <w:left w:w="0" w:type="dxa"/>
        <w:bottom w:w="0" w:type="dxa"/>
        <w:right w:w="0" w:type="dxa"/>
      </w:tblCellMar>
    </w:tblPr>
  </w:style>
  <w:style w:type="table" w:styleId="Tabela-Siatka">
    <w:name w:val="Table Grid"/>
    <w:basedOn w:val="Standardowy"/>
    <w:uiPriority w:val="39"/>
    <w:rsid w:val="00703561"/>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amowienia@simzaglebie.pl" TargetMode="External"/><Relationship Id="rId3" Type="http://schemas.openxmlformats.org/officeDocument/2006/relationships/hyperlink" Target="https://platformazakupowa.pl/pn/sim_zaglebie" TargetMode="External"/><Relationship Id="rId4" Type="http://schemas.openxmlformats.org/officeDocument/2006/relationships/hyperlink" Target="https://platformazakupowa.pl/transakcja/985140" TargetMode="External"/><Relationship Id="rId5" Type="http://schemas.openxmlformats.org/officeDocument/2006/relationships/hyperlink" Target="mailto:iod@simzaglebie.pl" TargetMode="External"/><Relationship Id="rId6" Type="http://schemas.openxmlformats.org/officeDocument/2006/relationships/hyperlink" Target="https://platformazakupowa.pl/transakcja/985140" TargetMode="External"/><Relationship Id="rId7" Type="http://schemas.openxmlformats.org/officeDocument/2006/relationships/hyperlink" Target="mailto:zamowienia@simzaglebie.pl" TargetMode="External"/><Relationship Id="rId8" Type="http://schemas.openxmlformats.org/officeDocument/2006/relationships/hyperlink" Target="https://platformazakupowa.pl/strona/1-regulamin" TargetMode="External"/><Relationship Id="rId9" Type="http://schemas.openxmlformats.org/officeDocument/2006/relationships/hyperlink" Target="https://platformazakupowa.pl/strona/45-instrukcje" TargetMode="External"/><Relationship Id="rId10" Type="http://schemas.openxmlformats.org/officeDocument/2006/relationships/hyperlink" Target="https://platformazakupowa.pl/strona/1-regulamin" TargetMode="External"/><Relationship Id="rId11" Type="http://schemas.openxmlformats.org/officeDocument/2006/relationships/hyperlink" Target="https://platformazakupowa.pl/strona/45-instrukcje" TargetMode="External"/><Relationship Id="rId12" Type="http://schemas.openxmlformats.org/officeDocument/2006/relationships/hyperlink" Target="mailto:cwk@platformazakupowa.pl" TargetMode="External"/><Relationship Id="rId13" Type="http://schemas.openxmlformats.org/officeDocument/2006/relationships/hyperlink" Target="https://platformazakupowa.pl/pn/simzaglebie" TargetMode="External"/><Relationship Id="rId14" Type="http://schemas.openxmlformats.org/officeDocument/2006/relationships/hyperlink" Target="https://platformazakupowa.pl/transakcja/985140" TargetMode="External"/><Relationship Id="rId15" Type="http://schemas.openxmlformats.org/officeDocument/2006/relationships/hyperlink" Target="https://platformazakupowa.pl/strona/45-instrukcje"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E65B6-1769-42DF-8005-188DFC6A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Application>LibreOffice/24.2.3.2$Windows_X86_64 LibreOffice_project/433d9c2ded56988e8a90e6b2e771ee4e6a5ab2ba</Application>
  <AppVersion>15.0000</AppVersion>
  <Pages>33</Pages>
  <Words>15058</Words>
  <Characters>97856</Characters>
  <CharactersWithSpaces>112189</CharactersWithSpaces>
  <Paragraphs>581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2024-10-11T06:54:00Z</dcterms:created>
  <dc:creator>Marcin Inżynier</dc:creator>
  <dc:description/>
  <dc:language>pl-PL</dc:language>
  <cp:lastModifiedBy/>
  <dcterms:modified xsi:type="dcterms:W3CDTF">2024-10-11T19:05:54Z</dcterms:modified>
  <cp:revision>9</cp:revision>
  <dc:subject/>
  <dc:title>Microsoft Word - SWZ tryb podstawowy bez negocjacji</dc:title>
</cp:coreProperties>
</file>

<file path=docProps/custom.xml><?xml version="1.0" encoding="utf-8"?>
<Properties xmlns="http://schemas.openxmlformats.org/officeDocument/2006/custom-properties" xmlns:vt="http://schemas.openxmlformats.org/officeDocument/2006/docPropsVTypes"/>
</file>